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441" w:rsidRPr="00505D3C" w:rsidRDefault="00851441">
      <w:pPr>
        <w:pStyle w:val="SubHead"/>
        <w:rPr>
          <w:rFonts w:cs="Times New Roman"/>
          <w:bCs w:val="0"/>
          <w:szCs w:val="24"/>
          <w:lang w:val="it-IT"/>
        </w:rPr>
      </w:pPr>
    </w:p>
    <w:p w:rsidR="00851441" w:rsidRPr="00505D3C" w:rsidRDefault="00851441">
      <w:pPr>
        <w:pStyle w:val="SubHead"/>
        <w:rPr>
          <w:rFonts w:cs="Times New Roman"/>
          <w:bCs w:val="0"/>
          <w:szCs w:val="24"/>
          <w:lang w:val="it-IT"/>
        </w:rPr>
      </w:pPr>
    </w:p>
    <w:p w:rsidR="00851441" w:rsidRPr="00294C6C" w:rsidRDefault="00515D26">
      <w:pPr>
        <w:rPr>
          <w:rFonts w:cs="Times New Roman"/>
          <w:color w:val="000000"/>
          <w:sz w:val="20"/>
          <w:szCs w:val="24"/>
          <w:lang w:val="it-IT"/>
        </w:rPr>
      </w:pPr>
      <w:bookmarkStart w:id="0" w:name="Editing"/>
      <w:r>
        <w:rPr>
          <w:rFonts w:cs="Times New Roman"/>
          <w:b/>
          <w:sz w:val="28"/>
          <w:szCs w:val="24"/>
          <w:lang w:val="it-IT"/>
        </w:rPr>
        <w:t>Casseforme Doka per la</w:t>
      </w:r>
      <w:r w:rsidR="008D4123">
        <w:rPr>
          <w:rFonts w:cs="Times New Roman"/>
          <w:b/>
          <w:sz w:val="28"/>
          <w:szCs w:val="24"/>
          <w:lang w:val="it-IT"/>
        </w:rPr>
        <w:t xml:space="preserve"> Chiesa Copta di Mestre</w:t>
      </w:r>
    </w:p>
    <w:bookmarkEnd w:id="0"/>
    <w:p w:rsidR="00851441" w:rsidRPr="00505D3C" w:rsidRDefault="00851441">
      <w:pPr>
        <w:pStyle w:val="Einleitung"/>
        <w:spacing w:line="264" w:lineRule="auto"/>
        <w:rPr>
          <w:rFonts w:cs="Times New Roman"/>
          <w:bCs w:val="0"/>
          <w:color w:val="000000"/>
          <w:szCs w:val="24"/>
          <w:lang w:val="it-IT"/>
        </w:rPr>
      </w:pPr>
    </w:p>
    <w:p w:rsidR="008D4123" w:rsidRPr="00DC102D" w:rsidRDefault="00294C6C" w:rsidP="008D4123">
      <w:pPr>
        <w:spacing w:line="260" w:lineRule="auto"/>
        <w:rPr>
          <w:rFonts w:cs="Times New Roman"/>
          <w:b/>
          <w:i/>
          <w:sz w:val="20"/>
          <w:szCs w:val="20"/>
          <w:lang w:val="it-IT"/>
        </w:rPr>
      </w:pPr>
      <w:r w:rsidRPr="00DC102D">
        <w:rPr>
          <w:rFonts w:cs="Times New Roman"/>
          <w:b/>
          <w:i/>
          <w:sz w:val="20"/>
          <w:szCs w:val="20"/>
          <w:lang w:val="it-IT"/>
        </w:rPr>
        <w:t xml:space="preserve">Colturano, </w:t>
      </w:r>
      <w:r w:rsidR="006035E9" w:rsidRPr="00DC102D">
        <w:rPr>
          <w:rFonts w:cs="Times New Roman"/>
          <w:b/>
          <w:i/>
          <w:sz w:val="20"/>
          <w:szCs w:val="20"/>
          <w:lang w:val="it-IT"/>
        </w:rPr>
        <w:t>15 maggio</w:t>
      </w:r>
      <w:r w:rsidRPr="00DC102D">
        <w:rPr>
          <w:rFonts w:cs="Times New Roman"/>
          <w:b/>
          <w:i/>
          <w:sz w:val="20"/>
          <w:szCs w:val="20"/>
          <w:lang w:val="it-IT"/>
        </w:rPr>
        <w:t xml:space="preserve"> 2014 - </w:t>
      </w:r>
      <w:r w:rsidR="008D4123" w:rsidRPr="00DC102D">
        <w:rPr>
          <w:rFonts w:cs="Times New Roman"/>
          <w:b/>
          <w:i/>
          <w:sz w:val="20"/>
          <w:szCs w:val="20"/>
          <w:lang w:val="it-IT"/>
        </w:rPr>
        <w:t>La nuova chiesa Copta di Mestre</w:t>
      </w:r>
      <w:r w:rsidR="006035E9" w:rsidRPr="00DC102D">
        <w:rPr>
          <w:rFonts w:cs="Times New Roman"/>
          <w:b/>
          <w:i/>
          <w:sz w:val="20"/>
          <w:szCs w:val="20"/>
          <w:lang w:val="it-IT"/>
        </w:rPr>
        <w:t xml:space="preserve"> </w:t>
      </w:r>
      <w:r w:rsidR="008D4123" w:rsidRPr="00DC102D">
        <w:rPr>
          <w:rFonts w:cs="Times New Roman"/>
          <w:b/>
          <w:i/>
          <w:sz w:val="20"/>
          <w:szCs w:val="20"/>
          <w:lang w:val="it-IT"/>
        </w:rPr>
        <w:t xml:space="preserve">si distingue per le complesse soluzioni tipologiche in pianta e alzato, tutte realizzate con tecnologia di </w:t>
      </w:r>
      <w:proofErr w:type="spellStart"/>
      <w:r w:rsidR="008D4123" w:rsidRPr="00DC102D">
        <w:rPr>
          <w:rFonts w:cs="Times New Roman"/>
          <w:b/>
          <w:i/>
          <w:sz w:val="20"/>
          <w:szCs w:val="20"/>
          <w:lang w:val="it-IT"/>
        </w:rPr>
        <w:t>casseratura</w:t>
      </w:r>
      <w:proofErr w:type="spellEnd"/>
      <w:r w:rsidR="008D4123" w:rsidRPr="00DC102D">
        <w:rPr>
          <w:rFonts w:cs="Times New Roman"/>
          <w:b/>
          <w:i/>
          <w:sz w:val="20"/>
          <w:szCs w:val="20"/>
          <w:lang w:val="it-IT"/>
        </w:rPr>
        <w:t xml:space="preserve"> Doka. </w:t>
      </w:r>
    </w:p>
    <w:p w:rsidR="008D4123" w:rsidRPr="008D4123" w:rsidRDefault="008D4123" w:rsidP="008D4123">
      <w:pPr>
        <w:spacing w:line="260" w:lineRule="auto"/>
        <w:rPr>
          <w:rFonts w:cs="Times New Roman"/>
          <w:i/>
          <w:sz w:val="20"/>
          <w:szCs w:val="20"/>
          <w:lang w:val="it-IT"/>
        </w:rPr>
      </w:pPr>
    </w:p>
    <w:p w:rsidR="008D4123" w:rsidRPr="008D4123" w:rsidRDefault="008D4123" w:rsidP="008D4123">
      <w:pPr>
        <w:spacing w:line="260" w:lineRule="auto"/>
        <w:rPr>
          <w:rFonts w:cs="Times New Roman"/>
          <w:i/>
          <w:sz w:val="20"/>
          <w:szCs w:val="20"/>
          <w:lang w:val="it-IT"/>
        </w:rPr>
      </w:pPr>
    </w:p>
    <w:p w:rsidR="008D4123" w:rsidRP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8D4123">
        <w:rPr>
          <w:rFonts w:cs="Times New Roman"/>
          <w:sz w:val="20"/>
          <w:szCs w:val="20"/>
          <w:lang w:val="it-IT"/>
        </w:rPr>
        <w:t>La grande struttura</w:t>
      </w:r>
      <w:r w:rsidR="007B3316">
        <w:rPr>
          <w:rFonts w:cs="Times New Roman"/>
          <w:sz w:val="20"/>
          <w:szCs w:val="20"/>
          <w:lang w:val="it-IT"/>
        </w:rPr>
        <w:t xml:space="preserve"> della nuov</w:t>
      </w:r>
      <w:r w:rsidR="006035E9">
        <w:rPr>
          <w:rFonts w:cs="Times New Roman"/>
          <w:sz w:val="20"/>
          <w:szCs w:val="20"/>
          <w:lang w:val="it-IT"/>
        </w:rPr>
        <w:t>a Chiesa di Mestre</w:t>
      </w:r>
      <w:r w:rsidRPr="008D4123">
        <w:rPr>
          <w:rFonts w:cs="Times New Roman"/>
          <w:sz w:val="20"/>
          <w:szCs w:val="20"/>
          <w:lang w:val="it-IT"/>
        </w:rPr>
        <w:t>,</w:t>
      </w:r>
      <w:r w:rsidR="006035E9">
        <w:rPr>
          <w:rFonts w:cs="Times New Roman"/>
          <w:sz w:val="20"/>
          <w:szCs w:val="20"/>
          <w:lang w:val="it-IT"/>
        </w:rPr>
        <w:t xml:space="preserve"> caratterizzata da </w:t>
      </w:r>
      <w:r w:rsidR="006035E9" w:rsidRPr="008D4123">
        <w:rPr>
          <w:rFonts w:cs="Times New Roman"/>
          <w:sz w:val="20"/>
          <w:szCs w:val="20"/>
          <w:lang w:val="it-IT"/>
        </w:rPr>
        <w:t>un articolato gruppo di cupole e campanili</w:t>
      </w:r>
      <w:r w:rsidR="006035E9">
        <w:rPr>
          <w:rFonts w:cs="Times New Roman"/>
          <w:sz w:val="20"/>
          <w:szCs w:val="20"/>
          <w:lang w:val="it-IT"/>
        </w:rPr>
        <w:t xml:space="preserve"> di</w:t>
      </w:r>
      <w:r w:rsidR="006035E9" w:rsidRPr="008D4123">
        <w:rPr>
          <w:rFonts w:cs="Times New Roman"/>
          <w:sz w:val="20"/>
          <w:szCs w:val="20"/>
          <w:lang w:val="it-IT"/>
        </w:rPr>
        <w:t xml:space="preserve"> forma esotica</w:t>
      </w:r>
      <w:r w:rsidR="006035E9">
        <w:rPr>
          <w:rFonts w:cs="Times New Roman"/>
          <w:sz w:val="20"/>
          <w:szCs w:val="20"/>
          <w:lang w:val="it-IT"/>
        </w:rPr>
        <w:t>,</w:t>
      </w:r>
      <w:r w:rsidRPr="008D4123">
        <w:rPr>
          <w:rFonts w:cs="Times New Roman"/>
          <w:sz w:val="20"/>
          <w:szCs w:val="20"/>
          <w:lang w:val="it-IT"/>
        </w:rPr>
        <w:t xml:space="preserve"> sorge su un lotto di circa 10.000 m2 </w:t>
      </w:r>
      <w:r w:rsidR="006035E9">
        <w:rPr>
          <w:rFonts w:cs="Times New Roman"/>
          <w:sz w:val="20"/>
          <w:szCs w:val="20"/>
          <w:lang w:val="it-IT"/>
        </w:rPr>
        <w:t xml:space="preserve">e </w:t>
      </w:r>
      <w:r w:rsidRPr="008D4123">
        <w:rPr>
          <w:rFonts w:cs="Times New Roman"/>
          <w:sz w:val="20"/>
          <w:szCs w:val="20"/>
          <w:lang w:val="it-IT"/>
        </w:rPr>
        <w:t>ospiterà la comunità Cristiana Copta del Nord Est</w:t>
      </w:r>
      <w:r w:rsidR="006035E9">
        <w:rPr>
          <w:rFonts w:cs="Times New Roman"/>
          <w:sz w:val="20"/>
          <w:szCs w:val="20"/>
          <w:lang w:val="it-IT"/>
        </w:rPr>
        <w:t xml:space="preserve">. Il cantiere della chiesa è </w:t>
      </w:r>
      <w:r w:rsidRPr="008D4123">
        <w:rPr>
          <w:rFonts w:cs="Times New Roman"/>
          <w:sz w:val="20"/>
          <w:szCs w:val="20"/>
          <w:lang w:val="it-IT"/>
        </w:rPr>
        <w:t>stato commissionato dalla Diocesi copta ortodossa di Milano, a cui fa capo la comunità veneziana, ed è stato pensato come punto di riferimento dei cristiani copto ortodossi del Nord Est d’Italia che</w:t>
      </w:r>
      <w:r w:rsidR="006035E9">
        <w:rPr>
          <w:rFonts w:cs="Times New Roman"/>
          <w:sz w:val="20"/>
          <w:szCs w:val="20"/>
          <w:lang w:val="it-IT"/>
        </w:rPr>
        <w:t xml:space="preserve"> contano circa 15.000 unità</w:t>
      </w:r>
      <w:r w:rsidRPr="008D4123">
        <w:rPr>
          <w:rFonts w:cs="Times New Roman"/>
          <w:sz w:val="20"/>
          <w:szCs w:val="20"/>
          <w:lang w:val="it-IT"/>
        </w:rPr>
        <w:t>.</w:t>
      </w:r>
    </w:p>
    <w:p w:rsidR="008D4123" w:rsidRP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8D4123">
        <w:rPr>
          <w:rFonts w:cs="Times New Roman"/>
          <w:sz w:val="20"/>
          <w:szCs w:val="20"/>
          <w:lang w:val="it-IT"/>
        </w:rPr>
        <w:t xml:space="preserve">La comunità copta ha voluto un edificio di culto importante per dotarsi di un punto di riferimento permanente per le esigenze del culto e della comunità. La struttura è stata </w:t>
      </w:r>
      <w:r w:rsidR="00A91073">
        <w:rPr>
          <w:rFonts w:cs="Times New Roman"/>
          <w:sz w:val="20"/>
          <w:szCs w:val="20"/>
          <w:lang w:val="it-IT"/>
        </w:rPr>
        <w:t>disegnata</w:t>
      </w:r>
      <w:r w:rsidRPr="008D4123">
        <w:rPr>
          <w:rFonts w:cs="Times New Roman"/>
          <w:sz w:val="20"/>
          <w:szCs w:val="20"/>
          <w:lang w:val="it-IT"/>
        </w:rPr>
        <w:t xml:space="preserve"> dal</w:t>
      </w:r>
      <w:r w:rsidR="00A91073">
        <w:rPr>
          <w:rFonts w:cs="Times New Roman"/>
          <w:sz w:val="20"/>
          <w:szCs w:val="20"/>
          <w:lang w:val="it-IT"/>
        </w:rPr>
        <w:t>l</w:t>
      </w:r>
      <w:r w:rsidRPr="008D4123">
        <w:rPr>
          <w:rFonts w:cs="Times New Roman"/>
          <w:sz w:val="20"/>
          <w:szCs w:val="20"/>
          <w:lang w:val="it-IT"/>
        </w:rPr>
        <w:t xml:space="preserve">’architetto Nicola </w:t>
      </w:r>
      <w:proofErr w:type="spellStart"/>
      <w:r w:rsidRPr="008D4123">
        <w:rPr>
          <w:rFonts w:cs="Times New Roman"/>
          <w:sz w:val="20"/>
          <w:szCs w:val="20"/>
          <w:lang w:val="it-IT"/>
        </w:rPr>
        <w:t>Ridolfi</w:t>
      </w:r>
      <w:proofErr w:type="spellEnd"/>
      <w:r w:rsidRPr="008D4123">
        <w:rPr>
          <w:rFonts w:cs="Times New Roman"/>
          <w:sz w:val="20"/>
          <w:szCs w:val="20"/>
          <w:lang w:val="it-IT"/>
        </w:rPr>
        <w:t xml:space="preserve"> di Venezia, seguendo le specifiche architettoniche proprie dell’architettura sacra copta, e si articola attorno a una grande cupola centrale</w:t>
      </w:r>
      <w:r w:rsidR="00A91073">
        <w:rPr>
          <w:rFonts w:cs="Times New Roman"/>
          <w:sz w:val="20"/>
          <w:szCs w:val="20"/>
          <w:lang w:val="it-IT"/>
        </w:rPr>
        <w:t>,</w:t>
      </w:r>
      <w:r w:rsidRPr="008D4123">
        <w:rPr>
          <w:rFonts w:cs="Times New Roman"/>
          <w:sz w:val="20"/>
          <w:szCs w:val="20"/>
          <w:lang w:val="it-IT"/>
        </w:rPr>
        <w:t xml:space="preserve"> che fa da perno a cupole e semic</w:t>
      </w:r>
      <w:r w:rsidR="00A91073">
        <w:rPr>
          <w:rFonts w:cs="Times New Roman"/>
          <w:sz w:val="20"/>
          <w:szCs w:val="20"/>
          <w:lang w:val="it-IT"/>
        </w:rPr>
        <w:t>upole secondarie e sulla quale</w:t>
      </w:r>
      <w:r w:rsidRPr="008D4123">
        <w:rPr>
          <w:rFonts w:cs="Times New Roman"/>
          <w:sz w:val="20"/>
          <w:szCs w:val="20"/>
          <w:lang w:val="it-IT"/>
        </w:rPr>
        <w:t xml:space="preserve"> si innesta una grande volta a botte, destinata ad accogliere i fedeli (si prevede che la chiesa potrà ospitarne fino a 300). Accanto a questa, sorgono due altre navate minori con piccole cupole secondarie.</w:t>
      </w:r>
    </w:p>
    <w:p w:rsidR="008D4123" w:rsidRP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8D4123">
        <w:rPr>
          <w:rFonts w:cs="Times New Roman"/>
          <w:sz w:val="20"/>
          <w:szCs w:val="20"/>
          <w:lang w:val="it-IT"/>
        </w:rPr>
        <w:t>Complet</w:t>
      </w:r>
      <w:r w:rsidR="00A91073">
        <w:rPr>
          <w:rFonts w:cs="Times New Roman"/>
          <w:sz w:val="20"/>
          <w:szCs w:val="20"/>
          <w:lang w:val="it-IT"/>
        </w:rPr>
        <w:t xml:space="preserve">ano le strutture in elevazione </w:t>
      </w:r>
      <w:r w:rsidRPr="008D4123">
        <w:rPr>
          <w:rFonts w:cs="Times New Roman"/>
          <w:sz w:val="20"/>
          <w:szCs w:val="20"/>
          <w:lang w:val="it-IT"/>
        </w:rPr>
        <w:t>due torri campanarie che partono dal portico anteriore, coronate dalla classica copertura a cupola, destinate a diventare il punto di riferimento anche geografico per i fedeli. La struttura prevede, inoltre, un piccolo giardino dal quale i fedeli accedono a un quadriportico che accoglie la tradizionale vasca per le abluzioni.</w:t>
      </w:r>
    </w:p>
    <w:p w:rsid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</w:p>
    <w:p w:rsidR="00515D26" w:rsidRPr="00515D26" w:rsidRDefault="00515D26" w:rsidP="008D4123">
      <w:pPr>
        <w:spacing w:line="260" w:lineRule="auto"/>
        <w:rPr>
          <w:rFonts w:cs="Times New Roman"/>
          <w:b/>
          <w:sz w:val="20"/>
          <w:szCs w:val="20"/>
          <w:lang w:val="it-IT"/>
        </w:rPr>
      </w:pPr>
      <w:r w:rsidRPr="00515D26">
        <w:rPr>
          <w:rFonts w:cs="Times New Roman"/>
          <w:b/>
          <w:sz w:val="20"/>
          <w:szCs w:val="20"/>
          <w:lang w:val="it-IT"/>
        </w:rPr>
        <w:t>Soluzioni personalizzate per semplificare il lavoro in cantiere</w:t>
      </w:r>
      <w:r>
        <w:rPr>
          <w:rFonts w:cs="Times New Roman"/>
          <w:b/>
          <w:sz w:val="20"/>
          <w:szCs w:val="20"/>
          <w:lang w:val="it-IT"/>
        </w:rPr>
        <w:t>.</w:t>
      </w:r>
    </w:p>
    <w:p w:rsidR="008D4123" w:rsidRPr="008D4123" w:rsidRDefault="009C5F4B" w:rsidP="008D4123">
      <w:pPr>
        <w:spacing w:line="260" w:lineRule="auto"/>
        <w:rPr>
          <w:rFonts w:cs="Times New Roman"/>
          <w:sz w:val="20"/>
          <w:szCs w:val="20"/>
          <w:lang w:val="it-IT"/>
        </w:rPr>
      </w:pPr>
      <w:r>
        <w:rPr>
          <w:rFonts w:cs="Times New Roman"/>
          <w:sz w:val="20"/>
          <w:szCs w:val="20"/>
          <w:lang w:val="it-IT"/>
        </w:rPr>
        <w:t xml:space="preserve">Il cantiere, </w:t>
      </w:r>
      <w:r w:rsidR="008D4123" w:rsidRPr="008D4123">
        <w:rPr>
          <w:rFonts w:cs="Times New Roman"/>
          <w:sz w:val="20"/>
          <w:szCs w:val="20"/>
          <w:lang w:val="it-IT"/>
        </w:rPr>
        <w:t>che prevede anche i parcheggi e l</w:t>
      </w:r>
      <w:r>
        <w:rPr>
          <w:rFonts w:cs="Times New Roman"/>
          <w:sz w:val="20"/>
          <w:szCs w:val="20"/>
          <w:lang w:val="it-IT"/>
        </w:rPr>
        <w:t>a relativa viabilità di accesso,</w:t>
      </w:r>
      <w:r w:rsidR="008D4123" w:rsidRPr="008D4123">
        <w:rPr>
          <w:rFonts w:cs="Times New Roman"/>
          <w:sz w:val="20"/>
          <w:szCs w:val="20"/>
          <w:lang w:val="it-IT"/>
        </w:rPr>
        <w:t xml:space="preserve"> si è sviluppato molto velocemente e, a poco più di un anno dall’inizio dei lavori, la nuova chiesa è quasi conclusa. Una parte fondamentale </w:t>
      </w:r>
      <w:r w:rsidR="00A91073">
        <w:rPr>
          <w:rFonts w:cs="Times New Roman"/>
          <w:sz w:val="20"/>
          <w:szCs w:val="20"/>
          <w:lang w:val="it-IT"/>
        </w:rPr>
        <w:t xml:space="preserve">dell’opera </w:t>
      </w:r>
      <w:r w:rsidR="008D4123" w:rsidRPr="008D4123">
        <w:rPr>
          <w:rFonts w:cs="Times New Roman"/>
          <w:sz w:val="20"/>
          <w:szCs w:val="20"/>
          <w:lang w:val="it-IT"/>
        </w:rPr>
        <w:t xml:space="preserve">è stata quella relativa alle strutture in elevazione che, viste le geometrie in gioco, hanno richiesto un’attenzione particolare sia a livello di progettazione sia di </w:t>
      </w:r>
      <w:r w:rsidR="00A91073">
        <w:rPr>
          <w:rFonts w:cs="Times New Roman"/>
          <w:sz w:val="20"/>
          <w:szCs w:val="20"/>
          <w:lang w:val="it-IT"/>
        </w:rPr>
        <w:t>cantierizzazione vera e propria. La</w:t>
      </w:r>
      <w:r w:rsidR="008D4123" w:rsidRPr="008D4123">
        <w:rPr>
          <w:rFonts w:cs="Times New Roman"/>
          <w:sz w:val="20"/>
          <w:szCs w:val="20"/>
          <w:lang w:val="it-IT"/>
        </w:rPr>
        <w:t xml:space="preserve"> cantierizzazione </w:t>
      </w:r>
      <w:r w:rsidR="00A91073">
        <w:rPr>
          <w:rFonts w:cs="Times New Roman"/>
          <w:sz w:val="20"/>
          <w:szCs w:val="20"/>
          <w:lang w:val="it-IT"/>
        </w:rPr>
        <w:t>è stata seguita da</w:t>
      </w:r>
      <w:r w:rsidR="008D4123" w:rsidRPr="008D4123">
        <w:rPr>
          <w:rFonts w:cs="Times New Roman"/>
          <w:sz w:val="20"/>
          <w:szCs w:val="20"/>
          <w:lang w:val="it-IT"/>
        </w:rPr>
        <w:t xml:space="preserve"> Euro Costruzioni, azienda nata nel 1989 a Treviso (oggi conta circa 75 dipendenti) che ha realizzato tutte le strutture in calcestruzzo principali, lavorando in stretta correlazione con il partner per le soluzioni di </w:t>
      </w:r>
      <w:proofErr w:type="spellStart"/>
      <w:r w:rsidR="008D4123" w:rsidRPr="008D4123">
        <w:rPr>
          <w:rFonts w:cs="Times New Roman"/>
          <w:sz w:val="20"/>
          <w:szCs w:val="20"/>
          <w:lang w:val="it-IT"/>
        </w:rPr>
        <w:t>casseratura</w:t>
      </w:r>
      <w:proofErr w:type="spellEnd"/>
      <w:r w:rsidR="008D4123" w:rsidRPr="008D4123">
        <w:rPr>
          <w:rFonts w:cs="Times New Roman"/>
          <w:sz w:val="20"/>
          <w:szCs w:val="20"/>
          <w:lang w:val="it-IT"/>
        </w:rPr>
        <w:t xml:space="preserve">, Doka Italia. </w:t>
      </w:r>
    </w:p>
    <w:p w:rsidR="008D4123" w:rsidRP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8D4123">
        <w:rPr>
          <w:rFonts w:cs="Times New Roman"/>
          <w:sz w:val="20"/>
          <w:szCs w:val="20"/>
          <w:lang w:val="it-IT"/>
        </w:rPr>
        <w:t xml:space="preserve">La collaborazione, già in fase preliminare di cantiere, fra impresa e fornitore di casseforme è risultata fondamentale per la qualità delle opere in calcestruzzo; tutte le cupole, le mezze cupole e le strutture portanti, infatti, sono state gettate in opera, secondo un rigido piano di lavoro condiviso dalla Euro Costruzioni con Doka Italia, che ha fornito il materiale a noleggio, in modo di abbattere i costi di costruzione, portando in cantiere di volta in volta quanto necessario ai getti programmati. La corretta progettazione e il perfetto dimensionamento degli elementi provvisionali sono stati importanti anche per garantire la sicurezza delle squadre in cantiere che si sono trovate spesso ad allestire gli elementi di cassaforma a oltre 10 metri da terra; senza un piano accurato che limitasse gli elementi da assemblare in quota, non solo i tempi di lavoro si sarebbero allungati, ma sarebbe stato necessario più personale, con incremento di costi e possibili rischi per la sicurezza. </w:t>
      </w:r>
    </w:p>
    <w:p w:rsidR="008D4123" w:rsidRP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</w:p>
    <w:p w:rsidR="008D4123" w:rsidRP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8D4123">
        <w:rPr>
          <w:rFonts w:cs="Times New Roman"/>
          <w:sz w:val="20"/>
          <w:szCs w:val="20"/>
          <w:lang w:val="it-IT"/>
        </w:rPr>
        <w:t xml:space="preserve">Nel dettaglio gli elementi </w:t>
      </w:r>
      <w:r w:rsidR="00A91073">
        <w:rPr>
          <w:rFonts w:cs="Times New Roman"/>
          <w:sz w:val="20"/>
          <w:szCs w:val="20"/>
          <w:lang w:val="it-IT"/>
        </w:rPr>
        <w:t xml:space="preserve">di </w:t>
      </w:r>
      <w:proofErr w:type="spellStart"/>
      <w:r w:rsidR="00A91073">
        <w:rPr>
          <w:rFonts w:cs="Times New Roman"/>
          <w:sz w:val="20"/>
          <w:szCs w:val="20"/>
          <w:lang w:val="it-IT"/>
        </w:rPr>
        <w:t>casseratura</w:t>
      </w:r>
      <w:proofErr w:type="spellEnd"/>
      <w:r w:rsidR="00A91073">
        <w:rPr>
          <w:rFonts w:cs="Times New Roman"/>
          <w:sz w:val="20"/>
          <w:szCs w:val="20"/>
          <w:lang w:val="it-IT"/>
        </w:rPr>
        <w:t xml:space="preserve"> </w:t>
      </w:r>
      <w:r w:rsidRPr="008D4123">
        <w:rPr>
          <w:rFonts w:cs="Times New Roman"/>
          <w:sz w:val="20"/>
          <w:szCs w:val="20"/>
          <w:lang w:val="it-IT"/>
        </w:rPr>
        <w:t xml:space="preserve">per la grande cupola centrale (quasi 10 m di diametro alla base, con spessore delle murature di 30 cm) sono stati realizzati con strisce di pannello </w:t>
      </w:r>
      <w:proofErr w:type="spellStart"/>
      <w:r w:rsidR="00A91073">
        <w:rPr>
          <w:rFonts w:cs="Times New Roman"/>
          <w:sz w:val="20"/>
          <w:szCs w:val="20"/>
          <w:lang w:val="it-IT"/>
        </w:rPr>
        <w:t>Dokap</w:t>
      </w:r>
      <w:r w:rsidRPr="008D4123">
        <w:rPr>
          <w:rFonts w:cs="Times New Roman"/>
          <w:sz w:val="20"/>
          <w:szCs w:val="20"/>
          <w:lang w:val="it-IT"/>
        </w:rPr>
        <w:t>lex</w:t>
      </w:r>
      <w:proofErr w:type="spellEnd"/>
      <w:r w:rsidRPr="008D4123">
        <w:rPr>
          <w:rFonts w:cs="Times New Roman"/>
          <w:sz w:val="20"/>
          <w:szCs w:val="20"/>
          <w:lang w:val="it-IT"/>
        </w:rPr>
        <w:t xml:space="preserve"> applicate su griglia di cassero Top 50 a doppia centina. I casseri sono stati </w:t>
      </w:r>
      <w:proofErr w:type="spellStart"/>
      <w:r w:rsidRPr="008D4123">
        <w:rPr>
          <w:rFonts w:cs="Times New Roman"/>
          <w:sz w:val="20"/>
          <w:szCs w:val="20"/>
          <w:lang w:val="it-IT"/>
        </w:rPr>
        <w:t>preassemblati</w:t>
      </w:r>
      <w:proofErr w:type="spellEnd"/>
      <w:r w:rsidRPr="008D4123">
        <w:rPr>
          <w:rFonts w:cs="Times New Roman"/>
          <w:sz w:val="20"/>
          <w:szCs w:val="20"/>
          <w:lang w:val="it-IT"/>
        </w:rPr>
        <w:t xml:space="preserve"> presso la sede produttiva di Doka in Austria e, successivamente, portati in cantiere per il montaggio in quota. Anche le due semicupole laterali, </w:t>
      </w:r>
      <w:r w:rsidR="00A91073">
        <w:rPr>
          <w:rFonts w:cs="Times New Roman"/>
          <w:sz w:val="20"/>
          <w:szCs w:val="20"/>
          <w:lang w:val="it-IT"/>
        </w:rPr>
        <w:t>aventi</w:t>
      </w:r>
      <w:r w:rsidRPr="008D4123">
        <w:rPr>
          <w:rFonts w:cs="Times New Roman"/>
          <w:sz w:val="20"/>
          <w:szCs w:val="20"/>
          <w:lang w:val="it-IT"/>
        </w:rPr>
        <w:t xml:space="preserve"> lo stesso raggio della principale, sono state realizzate con la stessa filosofia operativa, consentendo ai montatori di gestire elementi simili fra loro e, quindi, accelera</w:t>
      </w:r>
      <w:r w:rsidR="00A91073">
        <w:rPr>
          <w:rFonts w:cs="Times New Roman"/>
          <w:sz w:val="20"/>
          <w:szCs w:val="20"/>
          <w:lang w:val="it-IT"/>
        </w:rPr>
        <w:t>ndo le operazioni</w:t>
      </w:r>
      <w:r w:rsidRPr="008D4123">
        <w:rPr>
          <w:rFonts w:cs="Times New Roman"/>
          <w:sz w:val="20"/>
          <w:szCs w:val="20"/>
          <w:lang w:val="it-IT"/>
        </w:rPr>
        <w:t xml:space="preserve">.  Il cassero interno delle cupole è stato assemblato con tre elementi, tutti di </w:t>
      </w:r>
      <w:r w:rsidRPr="008D4123">
        <w:rPr>
          <w:rFonts w:cs="Times New Roman"/>
          <w:sz w:val="20"/>
          <w:szCs w:val="20"/>
          <w:lang w:val="it-IT"/>
        </w:rPr>
        <w:lastRenderedPageBreak/>
        <w:t xml:space="preserve">dimensioni inferiori ai 2,5 m, per semplificarne il trasporto su strada: due settori di porzioni di cassero Top 50 chiuse e collegate superiormente da un “cappello” finale a chiusura della sfera. Il cassero esterno proposto da Doka a Euro Costruzioni, riprendeva esattamente la tipologia di quello interno, senza però il cappello di chiusura sommitale. Per semplificare il disarmo, fra modulo e modulo sono state inserite strisce di compensazione di 10 cm. Il cassero per la cupola, durante la maturazione del calcestruzzo (il calcestruzzo utilizzato è del tipo </w:t>
      </w:r>
      <w:r w:rsidR="00A91073">
        <w:rPr>
          <w:rFonts w:cs="Times New Roman"/>
          <w:sz w:val="20"/>
          <w:szCs w:val="20"/>
          <w:lang w:val="it-IT"/>
        </w:rPr>
        <w:t>foto catalitico, con</w:t>
      </w:r>
      <w:r w:rsidRPr="008D4123">
        <w:rPr>
          <w:rFonts w:cs="Times New Roman"/>
          <w:sz w:val="20"/>
          <w:szCs w:val="20"/>
          <w:lang w:val="it-IT"/>
        </w:rPr>
        <w:t xml:space="preserve"> eccellenti capacità autopulenti, che contribuiranno alla conservazione della qualità dell’opera nel tempo), è stato sorretto con torri di </w:t>
      </w:r>
      <w:proofErr w:type="spellStart"/>
      <w:r w:rsidRPr="008D4123">
        <w:rPr>
          <w:rFonts w:cs="Times New Roman"/>
          <w:sz w:val="20"/>
          <w:szCs w:val="20"/>
          <w:lang w:val="it-IT"/>
        </w:rPr>
        <w:t>puntellazione</w:t>
      </w:r>
      <w:proofErr w:type="spellEnd"/>
      <w:r w:rsidRPr="008D4123">
        <w:rPr>
          <w:rFonts w:cs="Times New Roman"/>
          <w:sz w:val="20"/>
          <w:szCs w:val="20"/>
          <w:lang w:val="it-IT"/>
        </w:rPr>
        <w:t xml:space="preserve"> </w:t>
      </w:r>
      <w:proofErr w:type="spellStart"/>
      <w:r w:rsidRPr="008D4123">
        <w:rPr>
          <w:rFonts w:cs="Times New Roman"/>
          <w:sz w:val="20"/>
          <w:szCs w:val="20"/>
          <w:lang w:val="it-IT"/>
        </w:rPr>
        <w:t>Staxo</w:t>
      </w:r>
      <w:proofErr w:type="spellEnd"/>
      <w:r w:rsidRPr="008D4123">
        <w:rPr>
          <w:rFonts w:cs="Times New Roman"/>
          <w:sz w:val="20"/>
          <w:szCs w:val="20"/>
          <w:lang w:val="it-IT"/>
        </w:rPr>
        <w:t xml:space="preserve"> 40 alte 14 m, coadiuvate da puntelli regolabili T7 (necessari per regolarne l’inclinazione).</w:t>
      </w:r>
    </w:p>
    <w:p w:rsidR="008D4123" w:rsidRP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</w:p>
    <w:p w:rsidR="008D4123" w:rsidRP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8D4123">
        <w:rPr>
          <w:rFonts w:cs="Times New Roman"/>
          <w:sz w:val="20"/>
          <w:szCs w:val="20"/>
          <w:lang w:val="it-IT"/>
        </w:rPr>
        <w:t>L’altro elemento architettonico principale, la grande volta a botte, è stato realizzato impiegando un cassero Top 50 curvo; tutti gli elementi provvisionali, visto la complessità geometrica delle strutture sono stati sviluppati da Doka Italia, a partire dal disegno architettonico del progettista, mediante una serie di simulazioni tridimensionali, senza le quali sarebbe stato molto difficile ottimizzare le operazioni di getto e prevedere le interazioni tra un elemento e l’altro (come ad esempio le “unghie” di collegamento tra la cupola centrale principale e le semicupole laterali</w:t>
      </w:r>
      <w:r w:rsidR="0003509E">
        <w:rPr>
          <w:rFonts w:cs="Times New Roman"/>
          <w:sz w:val="20"/>
          <w:szCs w:val="20"/>
          <w:lang w:val="it-IT"/>
        </w:rPr>
        <w:t>)</w:t>
      </w:r>
      <w:r w:rsidRPr="008D4123">
        <w:rPr>
          <w:rFonts w:cs="Times New Roman"/>
          <w:sz w:val="20"/>
          <w:szCs w:val="20"/>
          <w:lang w:val="it-IT"/>
        </w:rPr>
        <w:t>. La qualità dei calcestruzzi doveva essere di alto livello, quindi anche le operazioni di getto</w:t>
      </w:r>
      <w:r w:rsidR="0003509E">
        <w:rPr>
          <w:rFonts w:cs="Times New Roman"/>
          <w:sz w:val="20"/>
          <w:szCs w:val="20"/>
          <w:lang w:val="it-IT"/>
        </w:rPr>
        <w:t xml:space="preserve"> </w:t>
      </w:r>
      <w:r w:rsidR="0003509E" w:rsidRPr="008D4123">
        <w:rPr>
          <w:rFonts w:cs="Times New Roman"/>
          <w:sz w:val="20"/>
          <w:szCs w:val="20"/>
          <w:lang w:val="it-IT"/>
        </w:rPr>
        <w:t xml:space="preserve">dovevano accuratamente essere </w:t>
      </w:r>
      <w:proofErr w:type="spellStart"/>
      <w:r w:rsidR="0003509E" w:rsidRPr="008D4123">
        <w:rPr>
          <w:rFonts w:cs="Times New Roman"/>
          <w:sz w:val="20"/>
          <w:szCs w:val="20"/>
          <w:lang w:val="it-IT"/>
        </w:rPr>
        <w:t>pre-progettate</w:t>
      </w:r>
      <w:proofErr w:type="spellEnd"/>
      <w:r w:rsidRPr="008D4123">
        <w:rPr>
          <w:rFonts w:cs="Times New Roman"/>
          <w:sz w:val="20"/>
          <w:szCs w:val="20"/>
          <w:lang w:val="it-IT"/>
        </w:rPr>
        <w:t>, comprensive di sollecitazioni sulle strutture provvisionali</w:t>
      </w:r>
      <w:r w:rsidR="0003509E">
        <w:rPr>
          <w:rFonts w:cs="Times New Roman"/>
          <w:sz w:val="20"/>
          <w:szCs w:val="20"/>
          <w:lang w:val="it-IT"/>
        </w:rPr>
        <w:t xml:space="preserve"> e</w:t>
      </w:r>
      <w:r w:rsidRPr="008D4123">
        <w:rPr>
          <w:rFonts w:cs="Times New Roman"/>
          <w:sz w:val="20"/>
          <w:szCs w:val="20"/>
          <w:lang w:val="it-IT"/>
        </w:rPr>
        <w:t xml:space="preserve"> di simulazioni della</w:t>
      </w:r>
      <w:r w:rsidR="0003509E">
        <w:rPr>
          <w:rFonts w:cs="Times New Roman"/>
          <w:sz w:val="20"/>
          <w:szCs w:val="20"/>
          <w:lang w:val="it-IT"/>
        </w:rPr>
        <w:t xml:space="preserve"> distribuzione dei calcestruzzi.</w:t>
      </w:r>
    </w:p>
    <w:p w:rsidR="008D4123" w:rsidRP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</w:p>
    <w:p w:rsidR="008D4123" w:rsidRPr="008D4123" w:rsidRDefault="0003509E" w:rsidP="008D4123">
      <w:pPr>
        <w:spacing w:line="260" w:lineRule="auto"/>
        <w:rPr>
          <w:rFonts w:cs="Times New Roman"/>
          <w:sz w:val="20"/>
          <w:szCs w:val="20"/>
          <w:lang w:val="it-IT"/>
        </w:rPr>
      </w:pPr>
      <w:r>
        <w:rPr>
          <w:rFonts w:cs="Times New Roman"/>
          <w:sz w:val="20"/>
          <w:szCs w:val="20"/>
          <w:lang w:val="it-IT"/>
        </w:rPr>
        <w:t>Per i solai intermedi, Euro Costruzioni</w:t>
      </w:r>
      <w:r w:rsidR="008D4123" w:rsidRPr="008D4123">
        <w:rPr>
          <w:rFonts w:cs="Times New Roman"/>
          <w:sz w:val="20"/>
          <w:szCs w:val="20"/>
          <w:lang w:val="it-IT"/>
        </w:rPr>
        <w:t xml:space="preserve"> ha impiegato il sistema per solai Doka </w:t>
      </w:r>
      <w:proofErr w:type="spellStart"/>
      <w:r w:rsidR="008D4123" w:rsidRPr="008D4123">
        <w:rPr>
          <w:rFonts w:cs="Times New Roman"/>
          <w:sz w:val="20"/>
          <w:szCs w:val="20"/>
          <w:lang w:val="it-IT"/>
        </w:rPr>
        <w:t>Xtra</w:t>
      </w:r>
      <w:proofErr w:type="spellEnd"/>
      <w:r w:rsidR="008D4123" w:rsidRPr="008D4123">
        <w:rPr>
          <w:rFonts w:cs="Times New Roman"/>
          <w:sz w:val="20"/>
          <w:szCs w:val="20"/>
          <w:lang w:val="it-IT"/>
        </w:rPr>
        <w:t>: il getto è stato eseguito in tre fasi successive con una dotazione di sistema di 150 m2.</w:t>
      </w:r>
    </w:p>
    <w:p w:rsid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</w:p>
    <w:p w:rsidR="00515D26" w:rsidRPr="00515D26" w:rsidRDefault="00515D26" w:rsidP="008D4123">
      <w:pPr>
        <w:spacing w:line="260" w:lineRule="auto"/>
        <w:rPr>
          <w:rFonts w:cs="Times New Roman"/>
          <w:b/>
          <w:sz w:val="20"/>
          <w:szCs w:val="20"/>
          <w:lang w:val="it-IT"/>
        </w:rPr>
      </w:pPr>
      <w:r>
        <w:rPr>
          <w:rFonts w:cs="Times New Roman"/>
          <w:b/>
          <w:sz w:val="20"/>
          <w:szCs w:val="20"/>
          <w:lang w:val="it-IT"/>
        </w:rPr>
        <w:t xml:space="preserve">Progettazione preliminare </w:t>
      </w:r>
      <w:r w:rsidRPr="00515D26">
        <w:rPr>
          <w:rFonts w:cs="Times New Roman"/>
          <w:b/>
          <w:sz w:val="20"/>
          <w:szCs w:val="20"/>
          <w:lang w:val="it-IT"/>
        </w:rPr>
        <w:t xml:space="preserve">e </w:t>
      </w:r>
      <w:proofErr w:type="spellStart"/>
      <w:r w:rsidRPr="00515D26">
        <w:rPr>
          <w:rFonts w:cs="Times New Roman"/>
          <w:b/>
          <w:sz w:val="20"/>
          <w:szCs w:val="20"/>
          <w:lang w:val="it-IT"/>
        </w:rPr>
        <w:t>premontaggio</w:t>
      </w:r>
      <w:proofErr w:type="spellEnd"/>
      <w:r w:rsidRPr="00515D26">
        <w:rPr>
          <w:rFonts w:cs="Times New Roman"/>
          <w:b/>
          <w:sz w:val="20"/>
          <w:szCs w:val="20"/>
          <w:lang w:val="it-IT"/>
        </w:rPr>
        <w:t xml:space="preserve"> degli elementi hanno fatto la differenza.</w:t>
      </w:r>
    </w:p>
    <w:p w:rsidR="008D4123" w:rsidRPr="008D4123" w:rsidRDefault="008D4123" w:rsidP="008D4123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8D4123">
        <w:rPr>
          <w:rFonts w:cs="Times New Roman"/>
          <w:sz w:val="20"/>
          <w:szCs w:val="20"/>
          <w:lang w:val="it-IT"/>
        </w:rPr>
        <w:t xml:space="preserve">Il geometra Stefano </w:t>
      </w:r>
      <w:proofErr w:type="spellStart"/>
      <w:r w:rsidRPr="008D4123">
        <w:rPr>
          <w:rFonts w:cs="Times New Roman"/>
          <w:sz w:val="20"/>
          <w:szCs w:val="20"/>
          <w:lang w:val="it-IT"/>
        </w:rPr>
        <w:t>Marin</w:t>
      </w:r>
      <w:proofErr w:type="spellEnd"/>
      <w:r w:rsidRPr="008D4123">
        <w:rPr>
          <w:rFonts w:cs="Times New Roman"/>
          <w:sz w:val="20"/>
          <w:szCs w:val="20"/>
          <w:lang w:val="it-IT"/>
        </w:rPr>
        <w:t>, direttore tecnico di Euro Costruzioni, sottolinea la complessità dell’opera e il rapporto positivo con Doka: “La chiesa copta ortodossa di Mestre ci ha chiesto un notevole sforzo organizzativo e gestionale sia per la tipologia delle strutture, sia per le quantità di calcestruzzo in gioco, da gettare in spazi molto ristretti. La collaborazione con Doka è stata molto importante a livello di progettazione preliminare delle strutture provvisionali</w:t>
      </w:r>
      <w:r w:rsidR="0003509E">
        <w:rPr>
          <w:rFonts w:cs="Times New Roman"/>
          <w:sz w:val="20"/>
          <w:szCs w:val="20"/>
          <w:lang w:val="it-IT"/>
        </w:rPr>
        <w:t>. F</w:t>
      </w:r>
      <w:r w:rsidRPr="008D4123">
        <w:rPr>
          <w:rFonts w:cs="Times New Roman"/>
          <w:sz w:val="20"/>
          <w:szCs w:val="20"/>
          <w:lang w:val="it-IT"/>
        </w:rPr>
        <w:t>onda</w:t>
      </w:r>
      <w:r w:rsidR="0003509E">
        <w:rPr>
          <w:rFonts w:cs="Times New Roman"/>
          <w:sz w:val="20"/>
          <w:szCs w:val="20"/>
          <w:lang w:val="it-IT"/>
        </w:rPr>
        <w:t>mentale è stata la modellazione</w:t>
      </w:r>
      <w:r w:rsidRPr="008D4123">
        <w:rPr>
          <w:rFonts w:cs="Times New Roman"/>
          <w:sz w:val="20"/>
          <w:szCs w:val="20"/>
          <w:lang w:val="it-IT"/>
        </w:rPr>
        <w:t xml:space="preserve"> tridimensionale</w:t>
      </w:r>
      <w:r w:rsidR="0003509E">
        <w:rPr>
          <w:rFonts w:cs="Times New Roman"/>
          <w:sz w:val="20"/>
          <w:szCs w:val="20"/>
          <w:lang w:val="it-IT"/>
        </w:rPr>
        <w:t>,</w:t>
      </w:r>
      <w:r w:rsidRPr="008D4123">
        <w:rPr>
          <w:rFonts w:cs="Times New Roman"/>
          <w:sz w:val="20"/>
          <w:szCs w:val="20"/>
          <w:lang w:val="it-IT"/>
        </w:rPr>
        <w:t xml:space="preserve"> che ci ha consentito di analizzare il progetto nel dettaglio, per poi ridurre al minimo fastidiosi aggiustamenti in corso d’opera. </w:t>
      </w:r>
      <w:r w:rsidR="0003509E">
        <w:rPr>
          <w:rFonts w:cs="Times New Roman"/>
          <w:sz w:val="20"/>
          <w:szCs w:val="20"/>
          <w:lang w:val="it-IT"/>
        </w:rPr>
        <w:t>Inoltre, p</w:t>
      </w:r>
      <w:r w:rsidRPr="008D4123">
        <w:rPr>
          <w:rFonts w:cs="Times New Roman"/>
          <w:sz w:val="20"/>
          <w:szCs w:val="20"/>
          <w:lang w:val="it-IT"/>
        </w:rPr>
        <w:t xml:space="preserve">rogettare in dettaglio le strutture per il getto ci ha consentito di portarle premontate in cantiere, in modo non solo da ridurre i montaggi in quota, ma anche di abbattere significativamente i costi per il noleggio delle strutture stesse. Siamo riusciti, infatti, a riutilizzare diversi elementi per più di una lavorazione, con un miglioramento deciso della logistica di cantiere, fattore fondamentale </w:t>
      </w:r>
      <w:r w:rsidR="0003509E">
        <w:rPr>
          <w:rFonts w:cs="Times New Roman"/>
          <w:sz w:val="20"/>
          <w:szCs w:val="20"/>
          <w:lang w:val="it-IT"/>
        </w:rPr>
        <w:t>considerato il fatto</w:t>
      </w:r>
      <w:r w:rsidRPr="008D4123">
        <w:rPr>
          <w:rFonts w:cs="Times New Roman"/>
          <w:sz w:val="20"/>
          <w:szCs w:val="20"/>
          <w:lang w:val="it-IT"/>
        </w:rPr>
        <w:t xml:space="preserve"> che lo spazio a disposizione per stoccaggi e montaggi era davvero ridotto. Oltre che in fase di progettazione - conclude </w:t>
      </w:r>
      <w:proofErr w:type="spellStart"/>
      <w:r w:rsidRPr="008D4123">
        <w:rPr>
          <w:rFonts w:cs="Times New Roman"/>
          <w:sz w:val="20"/>
          <w:szCs w:val="20"/>
          <w:lang w:val="it-IT"/>
        </w:rPr>
        <w:t>Marin</w:t>
      </w:r>
      <w:proofErr w:type="spellEnd"/>
      <w:r w:rsidRPr="008D4123">
        <w:rPr>
          <w:rFonts w:cs="Times New Roman"/>
          <w:sz w:val="20"/>
          <w:szCs w:val="20"/>
          <w:lang w:val="it-IT"/>
        </w:rPr>
        <w:t xml:space="preserve"> - Doka ci ha assistito validamente anche durante i montaggi, affiancandoci quando si sono resi necessari aggiustamenti o forniture non previste di materiali. Un servizio completo che abbiamo apprezzato davvero molto”.</w:t>
      </w:r>
    </w:p>
    <w:p w:rsidR="008D4123" w:rsidRPr="008D4123" w:rsidRDefault="008D4123" w:rsidP="008D4123">
      <w:pPr>
        <w:spacing w:line="260" w:lineRule="auto"/>
        <w:rPr>
          <w:rFonts w:cs="Times New Roman"/>
          <w:i/>
          <w:sz w:val="20"/>
          <w:szCs w:val="20"/>
          <w:lang w:val="it-IT"/>
        </w:rPr>
      </w:pPr>
    </w:p>
    <w:p w:rsidR="008D4123" w:rsidRDefault="008D4123" w:rsidP="008D4123">
      <w:pPr>
        <w:spacing w:line="260" w:lineRule="auto"/>
        <w:rPr>
          <w:rFonts w:cs="Times New Roman"/>
          <w:i/>
          <w:sz w:val="20"/>
          <w:szCs w:val="20"/>
          <w:lang w:val="it-IT"/>
        </w:rPr>
      </w:pPr>
    </w:p>
    <w:p w:rsidR="008D4123" w:rsidRDefault="008D4123" w:rsidP="008D4123">
      <w:pPr>
        <w:spacing w:line="260" w:lineRule="auto"/>
        <w:rPr>
          <w:rFonts w:cs="Times New Roman"/>
          <w:i/>
          <w:sz w:val="20"/>
          <w:szCs w:val="20"/>
          <w:lang w:val="it-IT"/>
        </w:rPr>
      </w:pPr>
    </w:p>
    <w:p w:rsidR="008D4123" w:rsidRPr="008D4123" w:rsidRDefault="008D4123" w:rsidP="008D4123">
      <w:pPr>
        <w:spacing w:line="260" w:lineRule="auto"/>
        <w:rPr>
          <w:rFonts w:cs="Times New Roman"/>
          <w:i/>
          <w:sz w:val="20"/>
          <w:szCs w:val="20"/>
          <w:lang w:val="it-IT"/>
        </w:rPr>
      </w:pPr>
    </w:p>
    <w:p w:rsidR="00294C6C" w:rsidRPr="004A3947" w:rsidRDefault="00294C6C" w:rsidP="008D4123">
      <w:pPr>
        <w:spacing w:line="260" w:lineRule="auto"/>
        <w:rPr>
          <w:b/>
          <w:i/>
          <w:sz w:val="18"/>
          <w:szCs w:val="18"/>
          <w:lang w:val="it-IT"/>
        </w:rPr>
      </w:pPr>
      <w:r w:rsidRPr="004A3947">
        <w:rPr>
          <w:b/>
          <w:i/>
          <w:sz w:val="18"/>
          <w:szCs w:val="18"/>
          <w:lang w:val="it-IT"/>
        </w:rPr>
        <w:t>Doka</w:t>
      </w:r>
    </w:p>
    <w:p w:rsidR="00294C6C" w:rsidRPr="004A3947" w:rsidRDefault="00294C6C" w:rsidP="00294C6C">
      <w:pPr>
        <w:spacing w:line="276" w:lineRule="auto"/>
        <w:jc w:val="both"/>
        <w:rPr>
          <w:i/>
          <w:sz w:val="18"/>
          <w:szCs w:val="18"/>
          <w:lang w:val="it-IT"/>
        </w:rPr>
      </w:pPr>
      <w:r w:rsidRPr="004A3947">
        <w:rPr>
          <w:i/>
          <w:sz w:val="18"/>
          <w:szCs w:val="18"/>
          <w:lang w:val="it-IT"/>
        </w:rPr>
        <w:t xml:space="preserve">Leader internazionale nelle tecnologie di </w:t>
      </w:r>
      <w:proofErr w:type="spellStart"/>
      <w:r w:rsidRPr="004A3947">
        <w:rPr>
          <w:i/>
          <w:sz w:val="18"/>
          <w:szCs w:val="18"/>
          <w:lang w:val="it-IT"/>
        </w:rPr>
        <w:t>casseratura</w:t>
      </w:r>
      <w:proofErr w:type="spellEnd"/>
      <w:r w:rsidRPr="004A3947">
        <w:rPr>
          <w:i/>
          <w:sz w:val="18"/>
          <w:szCs w:val="18"/>
          <w:lang w:val="it-IT"/>
        </w:rPr>
        <w:t xml:space="preserve">, da sempre promuove l’innovazione tecnica finalizzata al progresso sociale ed economico. I sistemi Doka contribuiscono a migliorare l’efficienza costruttiva, influenzando positivamente tempi e costi di realizzazione delle opere, sicurezza degli operatori, qualità dei manufatti. Oltre a disporre di una gamma completa di sistemi e servizi, Doka collabora fin dalle fasi preliminari con gli attori del processo edilizio, assistendoli nella preparazione di studi di fattibilità e capitolati d’appalto, progettando la soluzione di </w:t>
      </w:r>
      <w:proofErr w:type="spellStart"/>
      <w:r w:rsidRPr="004A3947">
        <w:rPr>
          <w:i/>
          <w:sz w:val="18"/>
          <w:szCs w:val="18"/>
          <w:lang w:val="it-IT"/>
        </w:rPr>
        <w:t>casseratura</w:t>
      </w:r>
      <w:proofErr w:type="spellEnd"/>
      <w:r w:rsidRPr="004A3947">
        <w:rPr>
          <w:i/>
          <w:sz w:val="18"/>
          <w:szCs w:val="18"/>
          <w:lang w:val="it-IT"/>
        </w:rPr>
        <w:t xml:space="preserve"> adeguata e verificandone indici produttivi e parametri di sicurezza, all’interno di una visione globale del progetto costruttivo. Con impianti di produzione all’avanguardia, localizzati presso gli Headquarters in Austria, e una forte Social Corporate </w:t>
      </w:r>
      <w:proofErr w:type="spellStart"/>
      <w:r w:rsidRPr="004A3947">
        <w:rPr>
          <w:i/>
          <w:sz w:val="18"/>
          <w:szCs w:val="18"/>
          <w:lang w:val="it-IT"/>
        </w:rPr>
        <w:t>Responsability</w:t>
      </w:r>
      <w:proofErr w:type="spellEnd"/>
      <w:r w:rsidRPr="004A3947">
        <w:rPr>
          <w:i/>
          <w:sz w:val="18"/>
          <w:szCs w:val="18"/>
          <w:lang w:val="it-IT"/>
        </w:rPr>
        <w:t xml:space="preserve"> che integra i concetti di sostenibilità economica, ecologica e sociale, il Gruppo Doka è attivo in tutto il mondo, e conta più di 5.600 dipendenti</w:t>
      </w:r>
    </w:p>
    <w:p w:rsidR="00294C6C" w:rsidRPr="004A3947" w:rsidRDefault="00294C6C" w:rsidP="00294C6C">
      <w:pPr>
        <w:spacing w:line="276" w:lineRule="auto"/>
        <w:jc w:val="both"/>
        <w:rPr>
          <w:i/>
          <w:sz w:val="18"/>
          <w:szCs w:val="18"/>
          <w:lang w:val="it-IT"/>
        </w:rPr>
      </w:pPr>
      <w:r w:rsidRPr="004A3947">
        <w:rPr>
          <w:i/>
          <w:sz w:val="18"/>
          <w:szCs w:val="18"/>
          <w:lang w:val="it-IT"/>
        </w:rPr>
        <w:lastRenderedPageBreak/>
        <w:t xml:space="preserve">In Italia Doka è presente con la Sede Centrale a Colturano (Milano), tre filiali a Colturano, Roma e Padova, e una filiale interamente dedicata alla gestione delle più grandi imprese italiane. </w:t>
      </w:r>
    </w:p>
    <w:p w:rsidR="00294C6C" w:rsidRDefault="00294C6C" w:rsidP="00294C6C">
      <w:pPr>
        <w:spacing w:line="276" w:lineRule="auto"/>
        <w:jc w:val="both"/>
        <w:rPr>
          <w:sz w:val="20"/>
          <w:lang w:val="it-IT"/>
        </w:rPr>
      </w:pPr>
      <w:r w:rsidRPr="004A3947">
        <w:rPr>
          <w:i/>
          <w:sz w:val="18"/>
          <w:szCs w:val="18"/>
          <w:lang w:val="it-IT"/>
        </w:rPr>
        <w:t xml:space="preserve">Maggiori informazioni all’indirizzo web </w:t>
      </w:r>
      <w:hyperlink r:id="rId7" w:history="1">
        <w:r w:rsidRPr="004A3947">
          <w:rPr>
            <w:rStyle w:val="Collegamentoipertestuale"/>
            <w:i/>
            <w:lang w:val="it-IT"/>
          </w:rPr>
          <w:t>www.doka.it</w:t>
        </w:r>
      </w:hyperlink>
    </w:p>
    <w:p w:rsidR="00294C6C" w:rsidRPr="005306E4" w:rsidRDefault="00294C6C" w:rsidP="00294C6C">
      <w:pPr>
        <w:spacing w:line="276" w:lineRule="auto"/>
        <w:jc w:val="both"/>
        <w:rPr>
          <w:sz w:val="20"/>
          <w:lang w:val="it-IT"/>
        </w:rPr>
      </w:pPr>
    </w:p>
    <w:p w:rsidR="00294C6C" w:rsidRPr="004A3947" w:rsidRDefault="00294C6C" w:rsidP="00294C6C">
      <w:pPr>
        <w:spacing w:line="276" w:lineRule="auto"/>
        <w:jc w:val="both"/>
        <w:rPr>
          <w:b/>
          <w:sz w:val="20"/>
          <w:szCs w:val="20"/>
          <w:lang w:val="it-IT"/>
        </w:rPr>
      </w:pPr>
      <w:r w:rsidRPr="004A3947">
        <w:rPr>
          <w:b/>
          <w:sz w:val="20"/>
          <w:szCs w:val="20"/>
          <w:lang w:val="it-IT"/>
        </w:rPr>
        <w:t>Informazioni per la stampa:</w:t>
      </w:r>
    </w:p>
    <w:p w:rsidR="00294C6C" w:rsidRPr="004A3947" w:rsidRDefault="00294C6C" w:rsidP="00294C6C">
      <w:pPr>
        <w:spacing w:line="276" w:lineRule="auto"/>
        <w:jc w:val="both"/>
        <w:rPr>
          <w:b/>
          <w:sz w:val="20"/>
          <w:szCs w:val="20"/>
          <w:lang w:val="it-IT"/>
        </w:rPr>
      </w:pPr>
      <w:r w:rsidRPr="004A3947">
        <w:rPr>
          <w:b/>
          <w:sz w:val="20"/>
          <w:szCs w:val="20"/>
          <w:lang w:val="it-IT"/>
        </w:rPr>
        <w:t xml:space="preserve">Laura </w:t>
      </w:r>
      <w:proofErr w:type="spellStart"/>
      <w:r w:rsidRPr="004A3947">
        <w:rPr>
          <w:b/>
          <w:sz w:val="20"/>
          <w:szCs w:val="20"/>
          <w:lang w:val="it-IT"/>
        </w:rPr>
        <w:t>Legnani</w:t>
      </w:r>
      <w:proofErr w:type="spellEnd"/>
      <w:r w:rsidRPr="004A3947">
        <w:rPr>
          <w:b/>
          <w:sz w:val="20"/>
          <w:szCs w:val="20"/>
          <w:lang w:val="it-IT"/>
        </w:rPr>
        <w:t xml:space="preserve">  - Head </w:t>
      </w:r>
      <w:proofErr w:type="spellStart"/>
      <w:r w:rsidRPr="004A3947">
        <w:rPr>
          <w:b/>
          <w:sz w:val="20"/>
          <w:szCs w:val="20"/>
          <w:lang w:val="it-IT"/>
        </w:rPr>
        <w:t>of</w:t>
      </w:r>
      <w:proofErr w:type="spellEnd"/>
      <w:r w:rsidRPr="004A3947">
        <w:rPr>
          <w:b/>
          <w:sz w:val="20"/>
          <w:szCs w:val="20"/>
          <w:lang w:val="it-IT"/>
        </w:rPr>
        <w:t xml:space="preserve"> Marketing </w:t>
      </w:r>
      <w:proofErr w:type="spellStart"/>
      <w:r w:rsidRPr="004A3947">
        <w:rPr>
          <w:b/>
          <w:sz w:val="20"/>
          <w:szCs w:val="20"/>
          <w:lang w:val="it-IT"/>
        </w:rPr>
        <w:t>Southern</w:t>
      </w:r>
      <w:proofErr w:type="spellEnd"/>
      <w:r w:rsidRPr="004A3947">
        <w:rPr>
          <w:b/>
          <w:sz w:val="20"/>
          <w:szCs w:val="20"/>
          <w:lang w:val="it-IT"/>
        </w:rPr>
        <w:t xml:space="preserve"> </w:t>
      </w:r>
      <w:proofErr w:type="spellStart"/>
      <w:r w:rsidRPr="004A3947">
        <w:rPr>
          <w:b/>
          <w:sz w:val="20"/>
          <w:szCs w:val="20"/>
          <w:lang w:val="it-IT"/>
        </w:rPr>
        <w:t>Europe</w:t>
      </w:r>
      <w:proofErr w:type="spellEnd"/>
      <w:r w:rsidRPr="004A3947">
        <w:rPr>
          <w:b/>
          <w:sz w:val="20"/>
          <w:szCs w:val="20"/>
          <w:lang w:val="it-IT"/>
        </w:rPr>
        <w:tab/>
      </w:r>
      <w:r w:rsidRPr="004A3947">
        <w:rPr>
          <w:b/>
          <w:sz w:val="20"/>
          <w:szCs w:val="20"/>
          <w:lang w:val="it-IT"/>
        </w:rPr>
        <w:tab/>
      </w:r>
      <w:r w:rsidRPr="004A3947">
        <w:rPr>
          <w:b/>
          <w:sz w:val="20"/>
          <w:szCs w:val="20"/>
          <w:lang w:val="it-IT"/>
        </w:rPr>
        <w:tab/>
      </w:r>
      <w:r w:rsidRPr="004A3947">
        <w:rPr>
          <w:b/>
          <w:sz w:val="20"/>
          <w:szCs w:val="20"/>
          <w:lang w:val="it-IT"/>
        </w:rPr>
        <w:tab/>
      </w:r>
    </w:p>
    <w:p w:rsidR="00294C6C" w:rsidRPr="00294C6C" w:rsidRDefault="00294C6C" w:rsidP="00294C6C">
      <w:pPr>
        <w:spacing w:line="276" w:lineRule="auto"/>
        <w:jc w:val="both"/>
        <w:rPr>
          <w:sz w:val="20"/>
          <w:szCs w:val="20"/>
          <w:lang w:val="en-US"/>
        </w:rPr>
      </w:pPr>
      <w:r w:rsidRPr="00294C6C">
        <w:rPr>
          <w:sz w:val="20"/>
          <w:szCs w:val="20"/>
          <w:lang w:val="en-US"/>
        </w:rPr>
        <w:t>Cell: 339 2277973</w:t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</w:p>
    <w:p w:rsidR="00294C6C" w:rsidRPr="00294C6C" w:rsidRDefault="00294C6C" w:rsidP="00294C6C">
      <w:pPr>
        <w:spacing w:line="276" w:lineRule="auto"/>
        <w:jc w:val="both"/>
        <w:rPr>
          <w:sz w:val="20"/>
          <w:szCs w:val="20"/>
          <w:lang w:val="en-US"/>
        </w:rPr>
      </w:pPr>
      <w:proofErr w:type="spellStart"/>
      <w:r w:rsidRPr="00294C6C">
        <w:rPr>
          <w:sz w:val="20"/>
          <w:szCs w:val="20"/>
          <w:lang w:val="en-US"/>
        </w:rPr>
        <w:t>tel</w:t>
      </w:r>
      <w:proofErr w:type="spellEnd"/>
      <w:r w:rsidRPr="00294C6C">
        <w:rPr>
          <w:sz w:val="20"/>
          <w:szCs w:val="20"/>
          <w:lang w:val="en-US"/>
        </w:rPr>
        <w:t>:  02 98276-208</w:t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</w:p>
    <w:p w:rsidR="00294C6C" w:rsidRPr="00294C6C" w:rsidRDefault="00746A8A" w:rsidP="00294C6C">
      <w:pPr>
        <w:spacing w:line="276" w:lineRule="auto"/>
        <w:jc w:val="both"/>
        <w:rPr>
          <w:sz w:val="20"/>
          <w:szCs w:val="20"/>
          <w:lang w:val="en-US"/>
        </w:rPr>
      </w:pPr>
      <w:hyperlink r:id="rId8" w:history="1">
        <w:r w:rsidR="00294C6C" w:rsidRPr="00294C6C">
          <w:rPr>
            <w:rStyle w:val="Collegamentoipertestuale"/>
            <w:sz w:val="20"/>
            <w:szCs w:val="20"/>
            <w:lang w:val="en-US"/>
          </w:rPr>
          <w:t>laura.legnani@doka.com</w:t>
        </w:r>
      </w:hyperlink>
    </w:p>
    <w:p w:rsidR="00294C6C" w:rsidRPr="00294C6C" w:rsidRDefault="00294C6C" w:rsidP="00294C6C">
      <w:pPr>
        <w:spacing w:line="276" w:lineRule="auto"/>
        <w:jc w:val="both"/>
        <w:rPr>
          <w:sz w:val="20"/>
          <w:szCs w:val="20"/>
          <w:lang w:val="en-US"/>
        </w:rPr>
      </w:pPr>
    </w:p>
    <w:p w:rsidR="00294C6C" w:rsidRPr="00294C6C" w:rsidRDefault="00294C6C" w:rsidP="00294C6C">
      <w:pPr>
        <w:spacing w:line="276" w:lineRule="auto"/>
        <w:jc w:val="both"/>
        <w:rPr>
          <w:sz w:val="20"/>
          <w:szCs w:val="20"/>
          <w:lang w:val="en-US"/>
        </w:rPr>
      </w:pPr>
    </w:p>
    <w:p w:rsidR="00294C6C" w:rsidRPr="00F84A60" w:rsidRDefault="00294C6C" w:rsidP="00294C6C">
      <w:pPr>
        <w:spacing w:line="276" w:lineRule="auto"/>
        <w:jc w:val="both"/>
        <w:rPr>
          <w:sz w:val="20"/>
          <w:szCs w:val="20"/>
          <w:lang w:val="it-IT"/>
        </w:rPr>
      </w:pPr>
      <w:r w:rsidRPr="00F84A60">
        <w:rPr>
          <w:sz w:val="20"/>
          <w:szCs w:val="20"/>
          <w:lang w:val="it-IT"/>
        </w:rPr>
        <w:t>I materiali di questo comunicato possono essere scaricati direttamente dal sito internet Doka Italia, alla rubrica:</w:t>
      </w:r>
      <w:r w:rsidRPr="00294C6C">
        <w:rPr>
          <w:sz w:val="20"/>
          <w:szCs w:val="20"/>
          <w:lang w:val="it-IT"/>
        </w:rPr>
        <w:t xml:space="preserve"> </w:t>
      </w:r>
      <w:r w:rsidRPr="00F84A60">
        <w:rPr>
          <w:sz w:val="20"/>
          <w:szCs w:val="20"/>
          <w:lang w:val="it-IT"/>
        </w:rPr>
        <w:t xml:space="preserve">: </w:t>
      </w:r>
      <w:hyperlink r:id="rId9" w:history="1">
        <w:r w:rsidRPr="00F84A60">
          <w:rPr>
            <w:rStyle w:val="Collegamentoipertestuale"/>
            <w:sz w:val="20"/>
            <w:szCs w:val="20"/>
            <w:lang w:val="it-IT"/>
          </w:rPr>
          <w:t>Doka | Stampa (IT)</w:t>
        </w:r>
      </w:hyperlink>
    </w:p>
    <w:p w:rsidR="00294C6C" w:rsidRPr="00F84A60" w:rsidRDefault="00294C6C" w:rsidP="00294C6C">
      <w:pPr>
        <w:spacing w:line="276" w:lineRule="auto"/>
        <w:jc w:val="both"/>
        <w:rPr>
          <w:sz w:val="20"/>
          <w:szCs w:val="20"/>
          <w:lang w:val="it-IT"/>
        </w:rPr>
      </w:pPr>
    </w:p>
    <w:p w:rsidR="00851441" w:rsidRDefault="00851441" w:rsidP="00294C6C">
      <w:pPr>
        <w:rPr>
          <w:rFonts w:cs="Times New Roman"/>
          <w:sz w:val="20"/>
          <w:szCs w:val="20"/>
          <w:lang w:val="it-IT"/>
        </w:rPr>
      </w:pPr>
    </w:p>
    <w:p w:rsidR="00294C6C" w:rsidRPr="00294C6C" w:rsidRDefault="00294C6C" w:rsidP="00294C6C">
      <w:pPr>
        <w:rPr>
          <w:rFonts w:cs="Times New Roman"/>
          <w:sz w:val="20"/>
          <w:szCs w:val="20"/>
          <w:lang w:val="it-IT"/>
        </w:rPr>
      </w:pPr>
    </w:p>
    <w:p w:rsidR="00851441" w:rsidRPr="00294C6C" w:rsidRDefault="00851441">
      <w:pPr>
        <w:rPr>
          <w:rFonts w:cs="Times New Roman"/>
          <w:sz w:val="20"/>
          <w:szCs w:val="20"/>
          <w:lang w:val="it-IT"/>
        </w:rPr>
      </w:pPr>
    </w:p>
    <w:p w:rsidR="00851441" w:rsidRPr="00515D26" w:rsidRDefault="00DC102D">
      <w:pPr>
        <w:rPr>
          <w:rFonts w:cs="Times New Roman"/>
          <w:b/>
          <w:sz w:val="20"/>
          <w:szCs w:val="20"/>
          <w:lang w:val="it-IT"/>
        </w:rPr>
      </w:pPr>
      <w:r w:rsidRPr="00515D26">
        <w:rPr>
          <w:rFonts w:cs="Times New Roman"/>
          <w:b/>
          <w:sz w:val="20"/>
          <w:szCs w:val="20"/>
          <w:lang w:val="it-IT"/>
        </w:rPr>
        <w:t>Didascalie</w:t>
      </w:r>
      <w:r w:rsidR="00851441" w:rsidRPr="00515D26">
        <w:rPr>
          <w:rFonts w:cs="Times New Roman"/>
          <w:b/>
          <w:sz w:val="20"/>
          <w:szCs w:val="20"/>
          <w:lang w:val="it-IT"/>
        </w:rPr>
        <w:t>:</w:t>
      </w:r>
    </w:p>
    <w:p w:rsidR="00851441" w:rsidRPr="00515D26" w:rsidRDefault="00851441">
      <w:pPr>
        <w:rPr>
          <w:rFonts w:cs="Times New Roman"/>
          <w:sz w:val="20"/>
          <w:szCs w:val="20"/>
          <w:lang w:val="it-IT"/>
        </w:rPr>
      </w:pPr>
    </w:p>
    <w:p w:rsidR="000E382B" w:rsidRPr="00CA27B4" w:rsidRDefault="000E382B">
      <w:pPr>
        <w:pStyle w:val="Einleitung"/>
        <w:rPr>
          <w:rFonts w:cs="Times New Roman"/>
          <w:bCs w:val="0"/>
          <w:i/>
          <w:sz w:val="20"/>
          <w:szCs w:val="20"/>
          <w:lang w:val="it-IT"/>
        </w:rPr>
      </w:pPr>
      <w:proofErr w:type="spellStart"/>
      <w:r w:rsidRPr="00CA27B4">
        <w:rPr>
          <w:rFonts w:cs="Times New Roman"/>
          <w:bCs w:val="0"/>
          <w:i/>
          <w:sz w:val="20"/>
          <w:szCs w:val="20"/>
          <w:lang w:val="it-IT"/>
        </w:rPr>
        <w:t>Doka_Chiesa</w:t>
      </w:r>
      <w:proofErr w:type="spellEnd"/>
      <w:r w:rsidRPr="00CA27B4">
        <w:rPr>
          <w:rFonts w:cs="Times New Roman"/>
          <w:bCs w:val="0"/>
          <w:i/>
          <w:sz w:val="20"/>
          <w:szCs w:val="20"/>
          <w:lang w:val="it-IT"/>
        </w:rPr>
        <w:t xml:space="preserve"> Copta_2014_01 </w:t>
      </w:r>
    </w:p>
    <w:p w:rsidR="000E382B" w:rsidRPr="00CA27B4" w:rsidRDefault="00301113" w:rsidP="00CA27B4">
      <w:pPr>
        <w:pStyle w:val="Fotohinweis"/>
        <w:jc w:val="left"/>
        <w:rPr>
          <w:rFonts w:cs="Times New Roman"/>
          <w:sz w:val="20"/>
          <w:szCs w:val="20"/>
          <w:lang w:val="it-IT"/>
        </w:rPr>
      </w:pPr>
      <w:r>
        <w:rPr>
          <w:rFonts w:cs="Times New Roman"/>
          <w:sz w:val="20"/>
          <w:szCs w:val="20"/>
          <w:lang w:val="it-IT"/>
        </w:rPr>
        <w:t xml:space="preserve">Il cassero per la cupola è </w:t>
      </w:r>
      <w:r w:rsidR="00CA27B4" w:rsidRPr="00CA27B4">
        <w:rPr>
          <w:rFonts w:cs="Times New Roman"/>
          <w:sz w:val="20"/>
          <w:szCs w:val="20"/>
          <w:lang w:val="it-IT"/>
        </w:rPr>
        <w:t xml:space="preserve">costituito da </w:t>
      </w:r>
      <w:r w:rsidR="00CA27B4">
        <w:rPr>
          <w:rFonts w:cs="Times New Roman"/>
          <w:sz w:val="20"/>
          <w:szCs w:val="20"/>
          <w:lang w:val="it-IT"/>
        </w:rPr>
        <w:t xml:space="preserve">moduli </w:t>
      </w:r>
      <w:proofErr w:type="spellStart"/>
      <w:r w:rsidR="00CA27B4" w:rsidRPr="00CA27B4">
        <w:rPr>
          <w:rFonts w:cs="Times New Roman"/>
          <w:sz w:val="20"/>
          <w:szCs w:val="20"/>
          <w:lang w:val="it-IT"/>
        </w:rPr>
        <w:t>preassemblati</w:t>
      </w:r>
      <w:proofErr w:type="spellEnd"/>
      <w:r>
        <w:rPr>
          <w:rFonts w:cs="Times New Roman"/>
          <w:sz w:val="20"/>
          <w:szCs w:val="20"/>
          <w:lang w:val="it-IT"/>
        </w:rPr>
        <w:t xml:space="preserve"> di Top 50 su</w:t>
      </w:r>
      <w:r w:rsidR="00CA27B4" w:rsidRPr="008D4123">
        <w:rPr>
          <w:rFonts w:cs="Times New Roman"/>
          <w:sz w:val="20"/>
          <w:szCs w:val="20"/>
          <w:lang w:val="it-IT"/>
        </w:rPr>
        <w:t xml:space="preserve"> torri di </w:t>
      </w:r>
      <w:proofErr w:type="spellStart"/>
      <w:r w:rsidR="00CA27B4" w:rsidRPr="008D4123">
        <w:rPr>
          <w:rFonts w:cs="Times New Roman"/>
          <w:sz w:val="20"/>
          <w:szCs w:val="20"/>
          <w:lang w:val="it-IT"/>
        </w:rPr>
        <w:t>puntellazione</w:t>
      </w:r>
      <w:proofErr w:type="spellEnd"/>
      <w:r w:rsidR="00CA27B4" w:rsidRPr="008D4123">
        <w:rPr>
          <w:rFonts w:cs="Times New Roman"/>
          <w:sz w:val="20"/>
          <w:szCs w:val="20"/>
          <w:lang w:val="it-IT"/>
        </w:rPr>
        <w:t xml:space="preserve"> </w:t>
      </w:r>
      <w:proofErr w:type="spellStart"/>
      <w:r w:rsidR="00CA27B4" w:rsidRPr="008D4123">
        <w:rPr>
          <w:rFonts w:cs="Times New Roman"/>
          <w:sz w:val="20"/>
          <w:szCs w:val="20"/>
          <w:lang w:val="it-IT"/>
        </w:rPr>
        <w:t>Staxo</w:t>
      </w:r>
      <w:proofErr w:type="spellEnd"/>
      <w:r w:rsidR="00CA27B4" w:rsidRPr="008D4123">
        <w:rPr>
          <w:rFonts w:cs="Times New Roman"/>
          <w:sz w:val="20"/>
          <w:szCs w:val="20"/>
          <w:lang w:val="it-IT"/>
        </w:rPr>
        <w:t xml:space="preserve"> 40</w:t>
      </w:r>
      <w:r>
        <w:rPr>
          <w:rFonts w:cs="Times New Roman"/>
          <w:sz w:val="20"/>
          <w:szCs w:val="20"/>
          <w:lang w:val="it-IT"/>
        </w:rPr>
        <w:t>,</w:t>
      </w:r>
      <w:r w:rsidR="00CA27B4" w:rsidRPr="008D4123">
        <w:rPr>
          <w:rFonts w:cs="Times New Roman"/>
          <w:sz w:val="20"/>
          <w:szCs w:val="20"/>
          <w:lang w:val="it-IT"/>
        </w:rPr>
        <w:t xml:space="preserve"> alte 14 m</w:t>
      </w:r>
      <w:r w:rsidR="00CA27B4">
        <w:rPr>
          <w:rFonts w:cs="Times New Roman"/>
          <w:sz w:val="20"/>
          <w:szCs w:val="20"/>
          <w:lang w:val="it-IT"/>
        </w:rPr>
        <w:t>.</w:t>
      </w:r>
    </w:p>
    <w:p w:rsidR="00851441" w:rsidRPr="000E382B" w:rsidRDefault="00851441">
      <w:pPr>
        <w:pStyle w:val="Fotohinweis"/>
        <w:rPr>
          <w:rFonts w:cs="Times New Roman"/>
          <w:sz w:val="20"/>
          <w:szCs w:val="20"/>
          <w:lang w:val="it-IT"/>
        </w:rPr>
      </w:pPr>
      <w:r w:rsidRPr="000E382B">
        <w:rPr>
          <w:rFonts w:cs="Times New Roman"/>
          <w:sz w:val="20"/>
          <w:szCs w:val="20"/>
          <w:lang w:val="it-IT"/>
        </w:rPr>
        <w:t>Foto:Doka</w:t>
      </w:r>
    </w:p>
    <w:p w:rsidR="00DE57F9" w:rsidRDefault="00DE57F9">
      <w:pPr>
        <w:pStyle w:val="Einleitung"/>
        <w:rPr>
          <w:rFonts w:cs="Times New Roman"/>
          <w:bCs w:val="0"/>
          <w:i/>
          <w:sz w:val="20"/>
          <w:szCs w:val="20"/>
          <w:lang w:val="it-IT"/>
        </w:rPr>
      </w:pPr>
    </w:p>
    <w:p w:rsidR="00851441" w:rsidRDefault="000E382B">
      <w:pPr>
        <w:pStyle w:val="Einleitung"/>
        <w:rPr>
          <w:rFonts w:cs="Times New Roman"/>
          <w:b w:val="0"/>
          <w:bCs w:val="0"/>
          <w:sz w:val="20"/>
          <w:szCs w:val="20"/>
          <w:lang w:val="it-IT"/>
        </w:rPr>
      </w:pPr>
      <w:proofErr w:type="spellStart"/>
      <w:r w:rsidRPr="000E382B">
        <w:rPr>
          <w:rFonts w:cs="Times New Roman"/>
          <w:bCs w:val="0"/>
          <w:i/>
          <w:sz w:val="20"/>
          <w:szCs w:val="20"/>
          <w:lang w:val="it-IT"/>
        </w:rPr>
        <w:t>Doka_Chiesa</w:t>
      </w:r>
      <w:proofErr w:type="spellEnd"/>
      <w:r w:rsidRPr="000E382B">
        <w:rPr>
          <w:rFonts w:cs="Times New Roman"/>
          <w:bCs w:val="0"/>
          <w:i/>
          <w:sz w:val="20"/>
          <w:szCs w:val="20"/>
          <w:lang w:val="it-IT"/>
        </w:rPr>
        <w:t xml:space="preserve"> Copta_2014_03 e </w:t>
      </w:r>
      <w:proofErr w:type="spellStart"/>
      <w:r w:rsidRPr="000E382B">
        <w:rPr>
          <w:rFonts w:cs="Times New Roman"/>
          <w:bCs w:val="0"/>
          <w:i/>
          <w:sz w:val="20"/>
          <w:szCs w:val="20"/>
          <w:lang w:val="it-IT"/>
        </w:rPr>
        <w:t>Doka_Chiesa</w:t>
      </w:r>
      <w:proofErr w:type="spellEnd"/>
      <w:r w:rsidRPr="000E382B">
        <w:rPr>
          <w:rFonts w:cs="Times New Roman"/>
          <w:bCs w:val="0"/>
          <w:i/>
          <w:sz w:val="20"/>
          <w:szCs w:val="20"/>
          <w:lang w:val="it-IT"/>
        </w:rPr>
        <w:t xml:space="preserve"> Copta_2014_03bis</w:t>
      </w:r>
    </w:p>
    <w:p w:rsidR="000E382B" w:rsidRPr="00294C6C" w:rsidRDefault="00CA27B4">
      <w:pPr>
        <w:pStyle w:val="Einleitung"/>
        <w:rPr>
          <w:rFonts w:cs="Times New Roman"/>
          <w:b w:val="0"/>
          <w:bCs w:val="0"/>
          <w:sz w:val="20"/>
          <w:szCs w:val="20"/>
          <w:lang w:val="it-IT"/>
        </w:rPr>
      </w:pPr>
      <w:r>
        <w:rPr>
          <w:rFonts w:cs="Times New Roman"/>
          <w:b w:val="0"/>
          <w:bCs w:val="0"/>
          <w:sz w:val="20"/>
          <w:szCs w:val="20"/>
          <w:lang w:val="it-IT"/>
        </w:rPr>
        <w:t>La geometria delle cupole e le forme particolari hanno messo a dura prova le soluzioni costruttive.</w:t>
      </w:r>
    </w:p>
    <w:p w:rsidR="00851441" w:rsidRPr="00515D26" w:rsidRDefault="00851441">
      <w:pPr>
        <w:pStyle w:val="Fotohinweis"/>
        <w:rPr>
          <w:rFonts w:cs="Times New Roman"/>
          <w:sz w:val="20"/>
          <w:szCs w:val="20"/>
          <w:lang w:val="it-IT"/>
        </w:rPr>
      </w:pPr>
      <w:r w:rsidRPr="00515D26">
        <w:rPr>
          <w:rFonts w:cs="Times New Roman"/>
          <w:sz w:val="20"/>
          <w:szCs w:val="20"/>
          <w:lang w:val="it-IT"/>
        </w:rPr>
        <w:t>Foto:Doka</w:t>
      </w:r>
    </w:p>
    <w:p w:rsidR="00851441" w:rsidRPr="00515D26" w:rsidRDefault="00851441">
      <w:pPr>
        <w:pStyle w:val="Fotohinweis"/>
        <w:rPr>
          <w:rFonts w:cs="Times New Roman"/>
          <w:sz w:val="20"/>
          <w:szCs w:val="20"/>
          <w:lang w:val="it-IT"/>
        </w:rPr>
      </w:pPr>
    </w:p>
    <w:p w:rsidR="000E382B" w:rsidRPr="00CA27B4" w:rsidRDefault="000E382B" w:rsidP="00D126E4">
      <w:pPr>
        <w:pStyle w:val="Fotohinweis"/>
        <w:jc w:val="left"/>
        <w:rPr>
          <w:rFonts w:cs="Times New Roman"/>
          <w:b/>
          <w:i/>
          <w:sz w:val="20"/>
          <w:szCs w:val="20"/>
          <w:lang w:val="it-IT"/>
        </w:rPr>
      </w:pPr>
      <w:proofErr w:type="spellStart"/>
      <w:r w:rsidRPr="00CA27B4">
        <w:rPr>
          <w:rFonts w:cs="Times New Roman"/>
          <w:b/>
          <w:i/>
          <w:sz w:val="20"/>
          <w:szCs w:val="20"/>
          <w:lang w:val="it-IT"/>
        </w:rPr>
        <w:t>Doka_Chiesa</w:t>
      </w:r>
      <w:proofErr w:type="spellEnd"/>
      <w:r w:rsidRPr="00CA27B4">
        <w:rPr>
          <w:rFonts w:cs="Times New Roman"/>
          <w:b/>
          <w:i/>
          <w:sz w:val="20"/>
          <w:szCs w:val="20"/>
          <w:lang w:val="it-IT"/>
        </w:rPr>
        <w:t xml:space="preserve"> Copta_2014_04 </w:t>
      </w:r>
    </w:p>
    <w:p w:rsidR="00CA27B4" w:rsidRDefault="00DE57F9" w:rsidP="00CA27B4">
      <w:pPr>
        <w:pStyle w:val="Fotohinweis"/>
        <w:jc w:val="left"/>
        <w:rPr>
          <w:rFonts w:cs="Times New Roman"/>
          <w:sz w:val="20"/>
          <w:szCs w:val="20"/>
          <w:lang w:val="it-IT"/>
        </w:rPr>
      </w:pPr>
      <w:r>
        <w:rPr>
          <w:rFonts w:cs="Times New Roman"/>
          <w:sz w:val="20"/>
          <w:szCs w:val="20"/>
          <w:lang w:val="it-IT"/>
        </w:rPr>
        <w:t>Gli elementi di raccordo fra cupola centrale e navata a botte hanno rappresentato un elemento critico da realizzare.</w:t>
      </w:r>
    </w:p>
    <w:p w:rsidR="00851441" w:rsidRDefault="00CA27B4" w:rsidP="00CA27B4">
      <w:pPr>
        <w:pStyle w:val="Fotohinweis"/>
        <w:rPr>
          <w:rFonts w:cs="Times New Roman"/>
          <w:sz w:val="20"/>
          <w:szCs w:val="20"/>
          <w:lang w:val="it-IT"/>
        </w:rPr>
      </w:pPr>
      <w:r>
        <w:rPr>
          <w:rFonts w:cs="Times New Roman"/>
          <w:sz w:val="20"/>
          <w:szCs w:val="20"/>
          <w:lang w:val="it-IT"/>
        </w:rPr>
        <w:t xml:space="preserve"> </w:t>
      </w:r>
      <w:r w:rsidR="00851441" w:rsidRPr="00294C6C">
        <w:rPr>
          <w:rFonts w:cs="Times New Roman"/>
          <w:sz w:val="20"/>
          <w:szCs w:val="20"/>
          <w:lang w:val="it-IT"/>
        </w:rPr>
        <w:t>Foto:Doka</w:t>
      </w:r>
    </w:p>
    <w:p w:rsidR="000E382B" w:rsidRDefault="000E382B">
      <w:pPr>
        <w:pStyle w:val="Fotohinweis"/>
        <w:rPr>
          <w:rFonts w:cs="Times New Roman"/>
          <w:sz w:val="20"/>
          <w:szCs w:val="20"/>
          <w:lang w:val="it-IT"/>
        </w:rPr>
      </w:pPr>
    </w:p>
    <w:p w:rsidR="000E382B" w:rsidRPr="00515D26" w:rsidRDefault="000E382B" w:rsidP="000E382B">
      <w:pPr>
        <w:pStyle w:val="Fotohinweis"/>
        <w:jc w:val="left"/>
        <w:rPr>
          <w:rFonts w:cs="Times New Roman"/>
          <w:b/>
          <w:i/>
          <w:sz w:val="20"/>
          <w:szCs w:val="20"/>
          <w:lang w:val="it-IT"/>
        </w:rPr>
      </w:pPr>
      <w:proofErr w:type="spellStart"/>
      <w:r w:rsidRPr="00CA27B4">
        <w:rPr>
          <w:rFonts w:cs="Times New Roman"/>
          <w:b/>
          <w:i/>
          <w:sz w:val="20"/>
          <w:szCs w:val="20"/>
          <w:lang w:val="it-IT"/>
        </w:rPr>
        <w:t>Doka_Chiesa</w:t>
      </w:r>
      <w:proofErr w:type="spellEnd"/>
      <w:r w:rsidRPr="00CA27B4">
        <w:rPr>
          <w:rFonts w:cs="Times New Roman"/>
          <w:b/>
          <w:i/>
          <w:sz w:val="20"/>
          <w:szCs w:val="20"/>
          <w:lang w:val="it-IT"/>
        </w:rPr>
        <w:t xml:space="preserve"> Copta_20</w:t>
      </w:r>
      <w:r w:rsidRPr="00515D26">
        <w:rPr>
          <w:rFonts w:cs="Times New Roman"/>
          <w:b/>
          <w:i/>
          <w:sz w:val="20"/>
          <w:szCs w:val="20"/>
          <w:lang w:val="it-IT"/>
        </w:rPr>
        <w:t>14_05</w:t>
      </w:r>
    </w:p>
    <w:p w:rsidR="000E382B" w:rsidRPr="00CA27B4" w:rsidRDefault="00CA27B4" w:rsidP="000E382B">
      <w:pPr>
        <w:pStyle w:val="Fotohinweis"/>
        <w:jc w:val="left"/>
        <w:rPr>
          <w:rFonts w:cs="Times New Roman"/>
          <w:sz w:val="20"/>
          <w:szCs w:val="20"/>
          <w:lang w:val="it-IT"/>
        </w:rPr>
      </w:pPr>
      <w:r w:rsidRPr="00CA27B4">
        <w:rPr>
          <w:rFonts w:cs="Times New Roman"/>
          <w:sz w:val="20"/>
          <w:szCs w:val="20"/>
          <w:lang w:val="it-IT"/>
        </w:rPr>
        <w:t>Il profilo esterno della Chiesa è caratterizzato da cupole e campanili di forma esotica</w:t>
      </w:r>
      <w:r w:rsidR="0056640A">
        <w:rPr>
          <w:rFonts w:cs="Times New Roman"/>
          <w:sz w:val="20"/>
          <w:szCs w:val="20"/>
          <w:lang w:val="it-IT"/>
        </w:rPr>
        <w:t>.</w:t>
      </w:r>
    </w:p>
    <w:p w:rsidR="000E382B" w:rsidRDefault="000E382B" w:rsidP="000E382B">
      <w:pPr>
        <w:pStyle w:val="Fotohinweis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>Foto:Doka</w:t>
      </w:r>
    </w:p>
    <w:p w:rsidR="000E382B" w:rsidRPr="000E382B" w:rsidRDefault="000E382B" w:rsidP="000E382B">
      <w:pPr>
        <w:pStyle w:val="Fotohinweis"/>
        <w:jc w:val="left"/>
        <w:rPr>
          <w:rFonts w:cs="Times New Roman"/>
          <w:b/>
          <w:i/>
          <w:sz w:val="20"/>
          <w:szCs w:val="20"/>
        </w:rPr>
      </w:pPr>
    </w:p>
    <w:p w:rsidR="00851441" w:rsidRPr="00294C6C" w:rsidRDefault="00851441">
      <w:pPr>
        <w:pStyle w:val="Fotohinweis"/>
        <w:rPr>
          <w:rFonts w:cs="Times New Roman"/>
          <w:sz w:val="20"/>
          <w:szCs w:val="20"/>
          <w:lang w:val="it-IT"/>
        </w:rPr>
      </w:pPr>
    </w:p>
    <w:sectPr w:rsidR="00851441" w:rsidRPr="00294C6C" w:rsidSect="00F957A4">
      <w:headerReference w:type="default" r:id="rId10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AF8" w:rsidRDefault="00372AF8">
      <w:pPr>
        <w:rPr>
          <w:rFonts w:cs="Times New Roman"/>
          <w:szCs w:val="24"/>
        </w:rPr>
      </w:pPr>
      <w:r>
        <w:rPr>
          <w:rFonts w:cs="Times New Roman"/>
          <w:szCs w:val="24"/>
        </w:rPr>
        <w:separator/>
      </w:r>
    </w:p>
  </w:endnote>
  <w:endnote w:type="continuationSeparator" w:id="0">
    <w:p w:rsidR="00372AF8" w:rsidRDefault="00372AF8">
      <w:pPr>
        <w:rPr>
          <w:rFonts w:cs="Times New Roman"/>
          <w:szCs w:val="24"/>
        </w:rPr>
      </w:pPr>
      <w:r>
        <w:rPr>
          <w:rFonts w:cs="Times New Roman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AF8" w:rsidRDefault="00372AF8">
      <w:pPr>
        <w:rPr>
          <w:rFonts w:cs="Times New Roman"/>
          <w:szCs w:val="24"/>
        </w:rPr>
      </w:pPr>
      <w:r>
        <w:rPr>
          <w:rFonts w:cs="Times New Roman"/>
          <w:szCs w:val="24"/>
        </w:rPr>
        <w:separator/>
      </w:r>
    </w:p>
  </w:footnote>
  <w:footnote w:type="continuationSeparator" w:id="0">
    <w:p w:rsidR="00372AF8" w:rsidRDefault="00372AF8">
      <w:pPr>
        <w:rPr>
          <w:rFonts w:cs="Times New Roman"/>
          <w:szCs w:val="24"/>
        </w:rPr>
      </w:pPr>
      <w:r>
        <w:rPr>
          <w:rFonts w:cs="Times New Roman"/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AF8" w:rsidRDefault="00372AF8">
    <w:pPr>
      <w:pStyle w:val="Intestazione"/>
      <w:jc w:val="right"/>
      <w:rPr>
        <w:rFonts w:cs="Times New Roman"/>
        <w:szCs w:val="24"/>
      </w:rPr>
    </w:pPr>
    <w:r>
      <w:rPr>
        <w:rFonts w:cs="Times New Roman"/>
        <w:noProof/>
        <w:snapToGrid/>
        <w:szCs w:val="24"/>
        <w:lang w:val="en-US" w:eastAsia="en-US"/>
      </w:rPr>
      <w:drawing>
        <wp:inline distT="0" distB="0" distL="0" distR="0">
          <wp:extent cx="1561465" cy="609600"/>
          <wp:effectExtent l="19050" t="0" r="635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146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2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3.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52CE015E"/>
    <w:multiLevelType w:val="multilevel"/>
    <w:tmpl w:val="B7EED7E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2"/>
        <w:szCs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sz w:val="22"/>
        <w:szCs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56CC2AD2"/>
    <w:multiLevelType w:val="multilevel"/>
    <w:tmpl w:val="1EFCEC30"/>
    <w:numStyleLink w:val="ListemitAufzhlungszeichenDoka"/>
  </w:abstractNum>
  <w:abstractNum w:abstractNumId="26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8"/>
  </w:num>
  <w:num w:numId="3">
    <w:abstractNumId w:val="20"/>
  </w:num>
  <w:num w:numId="4">
    <w:abstractNumId w:val="9"/>
  </w:num>
  <w:num w:numId="5">
    <w:abstractNumId w:val="23"/>
  </w:num>
  <w:num w:numId="6">
    <w:abstractNumId w:val="13"/>
  </w:num>
  <w:num w:numId="7">
    <w:abstractNumId w:val="16"/>
  </w:num>
  <w:num w:numId="8">
    <w:abstractNumId w:val="5"/>
  </w:num>
  <w:num w:numId="9">
    <w:abstractNumId w:val="22"/>
  </w:num>
  <w:num w:numId="10">
    <w:abstractNumId w:val="12"/>
  </w:num>
  <w:num w:numId="11">
    <w:abstractNumId w:val="33"/>
  </w:num>
  <w:num w:numId="12">
    <w:abstractNumId w:val="17"/>
  </w:num>
  <w:num w:numId="13">
    <w:abstractNumId w:val="0"/>
  </w:num>
  <w:num w:numId="14">
    <w:abstractNumId w:val="31"/>
  </w:num>
  <w:num w:numId="15">
    <w:abstractNumId w:val="28"/>
  </w:num>
  <w:num w:numId="16">
    <w:abstractNumId w:val="19"/>
  </w:num>
  <w:num w:numId="17">
    <w:abstractNumId w:val="2"/>
  </w:num>
  <w:num w:numId="18">
    <w:abstractNumId w:val="27"/>
  </w:num>
  <w:num w:numId="19">
    <w:abstractNumId w:val="3"/>
  </w:num>
  <w:num w:numId="20">
    <w:abstractNumId w:val="26"/>
  </w:num>
  <w:num w:numId="21">
    <w:abstractNumId w:val="1"/>
  </w:num>
  <w:num w:numId="22">
    <w:abstractNumId w:val="7"/>
  </w:num>
  <w:num w:numId="23">
    <w:abstractNumId w:val="11"/>
  </w:num>
  <w:num w:numId="24">
    <w:abstractNumId w:val="21"/>
  </w:num>
  <w:num w:numId="25">
    <w:abstractNumId w:val="24"/>
  </w:num>
  <w:num w:numId="26">
    <w:abstractNumId w:val="10"/>
  </w:num>
  <w:num w:numId="27">
    <w:abstractNumId w:val="29"/>
  </w:num>
  <w:num w:numId="28">
    <w:abstractNumId w:val="30"/>
  </w:num>
  <w:num w:numId="29">
    <w:abstractNumId w:val="18"/>
  </w:num>
  <w:num w:numId="30">
    <w:abstractNumId w:val="14"/>
  </w:num>
  <w:num w:numId="31">
    <w:abstractNumId w:val="25"/>
  </w:num>
  <w:num w:numId="32">
    <w:abstractNumId w:val="4"/>
  </w:num>
  <w:num w:numId="33">
    <w:abstractNumId w:val="15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proofState w:spelling="clean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7F7C2B"/>
    <w:rsid w:val="00000C22"/>
    <w:rsid w:val="00002F91"/>
    <w:rsid w:val="000040E0"/>
    <w:rsid w:val="00005A73"/>
    <w:rsid w:val="00005BA4"/>
    <w:rsid w:val="00010DF1"/>
    <w:rsid w:val="0001239A"/>
    <w:rsid w:val="00015F66"/>
    <w:rsid w:val="00016591"/>
    <w:rsid w:val="00016EAD"/>
    <w:rsid w:val="000251EE"/>
    <w:rsid w:val="00025D17"/>
    <w:rsid w:val="00030363"/>
    <w:rsid w:val="000322F5"/>
    <w:rsid w:val="0003509E"/>
    <w:rsid w:val="000352C8"/>
    <w:rsid w:val="000368FB"/>
    <w:rsid w:val="00037630"/>
    <w:rsid w:val="000457D7"/>
    <w:rsid w:val="000476C0"/>
    <w:rsid w:val="0005725D"/>
    <w:rsid w:val="00057DF6"/>
    <w:rsid w:val="0006146F"/>
    <w:rsid w:val="0006158E"/>
    <w:rsid w:val="00063232"/>
    <w:rsid w:val="00063F30"/>
    <w:rsid w:val="00064939"/>
    <w:rsid w:val="00065085"/>
    <w:rsid w:val="00066095"/>
    <w:rsid w:val="0007042D"/>
    <w:rsid w:val="000708CB"/>
    <w:rsid w:val="00072B49"/>
    <w:rsid w:val="00072DE6"/>
    <w:rsid w:val="00073AC8"/>
    <w:rsid w:val="00073B65"/>
    <w:rsid w:val="00076DB5"/>
    <w:rsid w:val="000773D4"/>
    <w:rsid w:val="0007760B"/>
    <w:rsid w:val="0007791A"/>
    <w:rsid w:val="00083CEC"/>
    <w:rsid w:val="0008594B"/>
    <w:rsid w:val="000900B7"/>
    <w:rsid w:val="000904B3"/>
    <w:rsid w:val="000931C4"/>
    <w:rsid w:val="00094AEB"/>
    <w:rsid w:val="00096F94"/>
    <w:rsid w:val="000A06A9"/>
    <w:rsid w:val="000A4782"/>
    <w:rsid w:val="000A6806"/>
    <w:rsid w:val="000A6BF4"/>
    <w:rsid w:val="000B2B0D"/>
    <w:rsid w:val="000B473B"/>
    <w:rsid w:val="000B47BD"/>
    <w:rsid w:val="000B7C38"/>
    <w:rsid w:val="000B7ED1"/>
    <w:rsid w:val="000C09CF"/>
    <w:rsid w:val="000C0E0C"/>
    <w:rsid w:val="000C279A"/>
    <w:rsid w:val="000C2DFB"/>
    <w:rsid w:val="000D0CDF"/>
    <w:rsid w:val="000D14A3"/>
    <w:rsid w:val="000D273A"/>
    <w:rsid w:val="000D321B"/>
    <w:rsid w:val="000D3FE3"/>
    <w:rsid w:val="000E20AA"/>
    <w:rsid w:val="000E2A1E"/>
    <w:rsid w:val="000E382B"/>
    <w:rsid w:val="000F0A26"/>
    <w:rsid w:val="000F239F"/>
    <w:rsid w:val="000F27D8"/>
    <w:rsid w:val="000F2860"/>
    <w:rsid w:val="000F4755"/>
    <w:rsid w:val="000F6CA7"/>
    <w:rsid w:val="00100239"/>
    <w:rsid w:val="00100EAD"/>
    <w:rsid w:val="00101154"/>
    <w:rsid w:val="00101536"/>
    <w:rsid w:val="00107234"/>
    <w:rsid w:val="00107EB0"/>
    <w:rsid w:val="0011463D"/>
    <w:rsid w:val="00120322"/>
    <w:rsid w:val="00120AEA"/>
    <w:rsid w:val="00121825"/>
    <w:rsid w:val="00122CD1"/>
    <w:rsid w:val="00124468"/>
    <w:rsid w:val="00124730"/>
    <w:rsid w:val="00126BDB"/>
    <w:rsid w:val="00126E9E"/>
    <w:rsid w:val="001357AC"/>
    <w:rsid w:val="001370DE"/>
    <w:rsid w:val="001377E1"/>
    <w:rsid w:val="001402FA"/>
    <w:rsid w:val="00140D49"/>
    <w:rsid w:val="00141584"/>
    <w:rsid w:val="00141D03"/>
    <w:rsid w:val="001428B6"/>
    <w:rsid w:val="00145700"/>
    <w:rsid w:val="0015009A"/>
    <w:rsid w:val="00150745"/>
    <w:rsid w:val="00151116"/>
    <w:rsid w:val="00151123"/>
    <w:rsid w:val="001518AF"/>
    <w:rsid w:val="001529C9"/>
    <w:rsid w:val="001532FF"/>
    <w:rsid w:val="0015368E"/>
    <w:rsid w:val="001550EB"/>
    <w:rsid w:val="00157088"/>
    <w:rsid w:val="00161368"/>
    <w:rsid w:val="001629CD"/>
    <w:rsid w:val="00163746"/>
    <w:rsid w:val="00164DE8"/>
    <w:rsid w:val="00166ED4"/>
    <w:rsid w:val="00170325"/>
    <w:rsid w:val="001717A0"/>
    <w:rsid w:val="0017232D"/>
    <w:rsid w:val="00174107"/>
    <w:rsid w:val="001757A3"/>
    <w:rsid w:val="00176B5B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2AB9"/>
    <w:rsid w:val="001A3C69"/>
    <w:rsid w:val="001A62EB"/>
    <w:rsid w:val="001A7BB7"/>
    <w:rsid w:val="001B24D6"/>
    <w:rsid w:val="001B2E0E"/>
    <w:rsid w:val="001B478C"/>
    <w:rsid w:val="001B63FA"/>
    <w:rsid w:val="001B66E8"/>
    <w:rsid w:val="001B724B"/>
    <w:rsid w:val="001C048D"/>
    <w:rsid w:val="001C2B26"/>
    <w:rsid w:val="001C73E6"/>
    <w:rsid w:val="001D0A14"/>
    <w:rsid w:val="001D1726"/>
    <w:rsid w:val="001D3D91"/>
    <w:rsid w:val="001D775D"/>
    <w:rsid w:val="001D7AE2"/>
    <w:rsid w:val="001E1EB9"/>
    <w:rsid w:val="001E1ED2"/>
    <w:rsid w:val="001E2836"/>
    <w:rsid w:val="001E625B"/>
    <w:rsid w:val="001E70C0"/>
    <w:rsid w:val="001E7AFA"/>
    <w:rsid w:val="001F0607"/>
    <w:rsid w:val="001F4501"/>
    <w:rsid w:val="001F6A44"/>
    <w:rsid w:val="001F6FCD"/>
    <w:rsid w:val="0020125E"/>
    <w:rsid w:val="002046D6"/>
    <w:rsid w:val="002056EC"/>
    <w:rsid w:val="002058E3"/>
    <w:rsid w:val="00205D87"/>
    <w:rsid w:val="00206107"/>
    <w:rsid w:val="00206ADC"/>
    <w:rsid w:val="00212D77"/>
    <w:rsid w:val="00215F7D"/>
    <w:rsid w:val="00217920"/>
    <w:rsid w:val="002212BC"/>
    <w:rsid w:val="00222893"/>
    <w:rsid w:val="0022681D"/>
    <w:rsid w:val="002268E5"/>
    <w:rsid w:val="002304C1"/>
    <w:rsid w:val="0023241C"/>
    <w:rsid w:val="002349EA"/>
    <w:rsid w:val="002360F9"/>
    <w:rsid w:val="00243342"/>
    <w:rsid w:val="0024357E"/>
    <w:rsid w:val="00246639"/>
    <w:rsid w:val="0025095D"/>
    <w:rsid w:val="002518A2"/>
    <w:rsid w:val="00251AB1"/>
    <w:rsid w:val="002528AB"/>
    <w:rsid w:val="00252BB2"/>
    <w:rsid w:val="00255352"/>
    <w:rsid w:val="0025574A"/>
    <w:rsid w:val="00255B14"/>
    <w:rsid w:val="00255FAB"/>
    <w:rsid w:val="002574A4"/>
    <w:rsid w:val="00264845"/>
    <w:rsid w:val="00267968"/>
    <w:rsid w:val="00270768"/>
    <w:rsid w:val="002716EC"/>
    <w:rsid w:val="00272218"/>
    <w:rsid w:val="002801C7"/>
    <w:rsid w:val="0028229F"/>
    <w:rsid w:val="002856EB"/>
    <w:rsid w:val="002878DF"/>
    <w:rsid w:val="00287B6E"/>
    <w:rsid w:val="0029073F"/>
    <w:rsid w:val="00290B87"/>
    <w:rsid w:val="00292958"/>
    <w:rsid w:val="00292C49"/>
    <w:rsid w:val="00294270"/>
    <w:rsid w:val="00294C6C"/>
    <w:rsid w:val="002955F7"/>
    <w:rsid w:val="00297D67"/>
    <w:rsid w:val="002A0810"/>
    <w:rsid w:val="002A0E48"/>
    <w:rsid w:val="002A29BA"/>
    <w:rsid w:val="002A560B"/>
    <w:rsid w:val="002A6293"/>
    <w:rsid w:val="002A6736"/>
    <w:rsid w:val="002B22F7"/>
    <w:rsid w:val="002B6A25"/>
    <w:rsid w:val="002B7048"/>
    <w:rsid w:val="002B77BD"/>
    <w:rsid w:val="002C1A71"/>
    <w:rsid w:val="002C3B72"/>
    <w:rsid w:val="002C41E1"/>
    <w:rsid w:val="002C4E8E"/>
    <w:rsid w:val="002C5E06"/>
    <w:rsid w:val="002C79F1"/>
    <w:rsid w:val="002D1CC4"/>
    <w:rsid w:val="002D471A"/>
    <w:rsid w:val="002D5962"/>
    <w:rsid w:val="002D78B6"/>
    <w:rsid w:val="002E0651"/>
    <w:rsid w:val="002E0AF0"/>
    <w:rsid w:val="002E225F"/>
    <w:rsid w:val="002E2EE7"/>
    <w:rsid w:val="002E5F1E"/>
    <w:rsid w:val="002F0538"/>
    <w:rsid w:val="002F0D9E"/>
    <w:rsid w:val="002F2206"/>
    <w:rsid w:val="002F6989"/>
    <w:rsid w:val="0030061E"/>
    <w:rsid w:val="00301113"/>
    <w:rsid w:val="0030576D"/>
    <w:rsid w:val="00307257"/>
    <w:rsid w:val="00307D5D"/>
    <w:rsid w:val="003128FA"/>
    <w:rsid w:val="003148EA"/>
    <w:rsid w:val="003151F4"/>
    <w:rsid w:val="00316319"/>
    <w:rsid w:val="00316391"/>
    <w:rsid w:val="003254C3"/>
    <w:rsid w:val="00325611"/>
    <w:rsid w:val="00334697"/>
    <w:rsid w:val="00340172"/>
    <w:rsid w:val="00345503"/>
    <w:rsid w:val="0034565D"/>
    <w:rsid w:val="0034608C"/>
    <w:rsid w:val="00352D97"/>
    <w:rsid w:val="00354410"/>
    <w:rsid w:val="00354EE2"/>
    <w:rsid w:val="00355E5E"/>
    <w:rsid w:val="003615AC"/>
    <w:rsid w:val="00361C47"/>
    <w:rsid w:val="00361CD1"/>
    <w:rsid w:val="00362D90"/>
    <w:rsid w:val="00363904"/>
    <w:rsid w:val="00363D60"/>
    <w:rsid w:val="00371B67"/>
    <w:rsid w:val="00372AF8"/>
    <w:rsid w:val="00375913"/>
    <w:rsid w:val="003764D7"/>
    <w:rsid w:val="00377D17"/>
    <w:rsid w:val="00377ECD"/>
    <w:rsid w:val="00380A98"/>
    <w:rsid w:val="00381A61"/>
    <w:rsid w:val="00382079"/>
    <w:rsid w:val="00383394"/>
    <w:rsid w:val="00383DB9"/>
    <w:rsid w:val="00386A1A"/>
    <w:rsid w:val="00386AD2"/>
    <w:rsid w:val="00391232"/>
    <w:rsid w:val="00391596"/>
    <w:rsid w:val="00393CDB"/>
    <w:rsid w:val="003946C2"/>
    <w:rsid w:val="00394730"/>
    <w:rsid w:val="00394CE4"/>
    <w:rsid w:val="0039716C"/>
    <w:rsid w:val="003A176B"/>
    <w:rsid w:val="003A2895"/>
    <w:rsid w:val="003A37E7"/>
    <w:rsid w:val="003A4FA2"/>
    <w:rsid w:val="003A5B0C"/>
    <w:rsid w:val="003A79FC"/>
    <w:rsid w:val="003B0303"/>
    <w:rsid w:val="003B3AC6"/>
    <w:rsid w:val="003B3FCB"/>
    <w:rsid w:val="003C2264"/>
    <w:rsid w:val="003C2B9F"/>
    <w:rsid w:val="003C2E17"/>
    <w:rsid w:val="003C4389"/>
    <w:rsid w:val="003C5963"/>
    <w:rsid w:val="003D0B7C"/>
    <w:rsid w:val="003D4BC4"/>
    <w:rsid w:val="003D5D3A"/>
    <w:rsid w:val="003D6E7F"/>
    <w:rsid w:val="003D76A7"/>
    <w:rsid w:val="003E0603"/>
    <w:rsid w:val="003E1B7C"/>
    <w:rsid w:val="003E2A28"/>
    <w:rsid w:val="003E4C7C"/>
    <w:rsid w:val="003E679B"/>
    <w:rsid w:val="003F1085"/>
    <w:rsid w:val="003F2D41"/>
    <w:rsid w:val="00401B81"/>
    <w:rsid w:val="00404566"/>
    <w:rsid w:val="00405AAE"/>
    <w:rsid w:val="00407531"/>
    <w:rsid w:val="004075E0"/>
    <w:rsid w:val="00410041"/>
    <w:rsid w:val="00411A28"/>
    <w:rsid w:val="00414531"/>
    <w:rsid w:val="004165BC"/>
    <w:rsid w:val="004235FA"/>
    <w:rsid w:val="00424EB9"/>
    <w:rsid w:val="00425FDA"/>
    <w:rsid w:val="004270A9"/>
    <w:rsid w:val="004304A2"/>
    <w:rsid w:val="00432F4B"/>
    <w:rsid w:val="00433FC3"/>
    <w:rsid w:val="0043403A"/>
    <w:rsid w:val="004346BC"/>
    <w:rsid w:val="0043563A"/>
    <w:rsid w:val="004361E6"/>
    <w:rsid w:val="00445BE0"/>
    <w:rsid w:val="004557D5"/>
    <w:rsid w:val="00455EFF"/>
    <w:rsid w:val="00456F44"/>
    <w:rsid w:val="00457CE1"/>
    <w:rsid w:val="00461CC3"/>
    <w:rsid w:val="00463017"/>
    <w:rsid w:val="004639B7"/>
    <w:rsid w:val="00463CD4"/>
    <w:rsid w:val="0046650D"/>
    <w:rsid w:val="00473116"/>
    <w:rsid w:val="00473BC0"/>
    <w:rsid w:val="00474177"/>
    <w:rsid w:val="00474B6B"/>
    <w:rsid w:val="004752D2"/>
    <w:rsid w:val="004758D0"/>
    <w:rsid w:val="004766A2"/>
    <w:rsid w:val="00481119"/>
    <w:rsid w:val="00483654"/>
    <w:rsid w:val="0048426A"/>
    <w:rsid w:val="00492FCA"/>
    <w:rsid w:val="00493CBF"/>
    <w:rsid w:val="004945E7"/>
    <w:rsid w:val="00497FBB"/>
    <w:rsid w:val="004A0EF2"/>
    <w:rsid w:val="004A11B0"/>
    <w:rsid w:val="004A156D"/>
    <w:rsid w:val="004A44DF"/>
    <w:rsid w:val="004A5189"/>
    <w:rsid w:val="004B0024"/>
    <w:rsid w:val="004B40E5"/>
    <w:rsid w:val="004B46D7"/>
    <w:rsid w:val="004C0A46"/>
    <w:rsid w:val="004C15FB"/>
    <w:rsid w:val="004C4763"/>
    <w:rsid w:val="004C4D4F"/>
    <w:rsid w:val="004D0DBC"/>
    <w:rsid w:val="004D0EE2"/>
    <w:rsid w:val="004D390B"/>
    <w:rsid w:val="004D629C"/>
    <w:rsid w:val="004E01A8"/>
    <w:rsid w:val="004E1670"/>
    <w:rsid w:val="004E5EFD"/>
    <w:rsid w:val="004E695D"/>
    <w:rsid w:val="004E6C7F"/>
    <w:rsid w:val="004F0C47"/>
    <w:rsid w:val="004F3A4D"/>
    <w:rsid w:val="004F3A7B"/>
    <w:rsid w:val="004F5E18"/>
    <w:rsid w:val="004F7A85"/>
    <w:rsid w:val="00500FE9"/>
    <w:rsid w:val="00504946"/>
    <w:rsid w:val="00505224"/>
    <w:rsid w:val="00505861"/>
    <w:rsid w:val="00505D3C"/>
    <w:rsid w:val="00514A3C"/>
    <w:rsid w:val="00514C50"/>
    <w:rsid w:val="005151C6"/>
    <w:rsid w:val="0051534D"/>
    <w:rsid w:val="00515AC3"/>
    <w:rsid w:val="00515D26"/>
    <w:rsid w:val="005165F8"/>
    <w:rsid w:val="0051758A"/>
    <w:rsid w:val="00522770"/>
    <w:rsid w:val="00523087"/>
    <w:rsid w:val="0052410F"/>
    <w:rsid w:val="005257A0"/>
    <w:rsid w:val="0052766F"/>
    <w:rsid w:val="005276A8"/>
    <w:rsid w:val="00531302"/>
    <w:rsid w:val="00531A8E"/>
    <w:rsid w:val="00533B9D"/>
    <w:rsid w:val="0053540E"/>
    <w:rsid w:val="0053636D"/>
    <w:rsid w:val="00537240"/>
    <w:rsid w:val="0054128C"/>
    <w:rsid w:val="00541415"/>
    <w:rsid w:val="005428D8"/>
    <w:rsid w:val="0054380B"/>
    <w:rsid w:val="005462D2"/>
    <w:rsid w:val="00546A7A"/>
    <w:rsid w:val="00550975"/>
    <w:rsid w:val="00553AC3"/>
    <w:rsid w:val="00563570"/>
    <w:rsid w:val="005642D2"/>
    <w:rsid w:val="00564AF1"/>
    <w:rsid w:val="0056640A"/>
    <w:rsid w:val="00570335"/>
    <w:rsid w:val="00572029"/>
    <w:rsid w:val="005727C6"/>
    <w:rsid w:val="00572CFA"/>
    <w:rsid w:val="00574722"/>
    <w:rsid w:val="005747E6"/>
    <w:rsid w:val="00574B8D"/>
    <w:rsid w:val="005767F1"/>
    <w:rsid w:val="00580526"/>
    <w:rsid w:val="00582E69"/>
    <w:rsid w:val="005861CF"/>
    <w:rsid w:val="0058680D"/>
    <w:rsid w:val="00586E94"/>
    <w:rsid w:val="00587ADB"/>
    <w:rsid w:val="0059159E"/>
    <w:rsid w:val="00593D62"/>
    <w:rsid w:val="00594152"/>
    <w:rsid w:val="0059444E"/>
    <w:rsid w:val="00594A33"/>
    <w:rsid w:val="005965EE"/>
    <w:rsid w:val="005A1EA6"/>
    <w:rsid w:val="005A2CBF"/>
    <w:rsid w:val="005A6B2A"/>
    <w:rsid w:val="005B0295"/>
    <w:rsid w:val="005B254A"/>
    <w:rsid w:val="005B36C0"/>
    <w:rsid w:val="005B5705"/>
    <w:rsid w:val="005B7476"/>
    <w:rsid w:val="005C05EF"/>
    <w:rsid w:val="005C128A"/>
    <w:rsid w:val="005C38D5"/>
    <w:rsid w:val="005C418B"/>
    <w:rsid w:val="005C4ED3"/>
    <w:rsid w:val="005C6539"/>
    <w:rsid w:val="005C65D7"/>
    <w:rsid w:val="005D2AF9"/>
    <w:rsid w:val="005D3FA2"/>
    <w:rsid w:val="005D590E"/>
    <w:rsid w:val="005E1BA3"/>
    <w:rsid w:val="005F4E67"/>
    <w:rsid w:val="005F53FC"/>
    <w:rsid w:val="005F58ED"/>
    <w:rsid w:val="005F62A8"/>
    <w:rsid w:val="00600641"/>
    <w:rsid w:val="006035E9"/>
    <w:rsid w:val="00603B07"/>
    <w:rsid w:val="00605ED4"/>
    <w:rsid w:val="0060619B"/>
    <w:rsid w:val="0061231B"/>
    <w:rsid w:val="006174CA"/>
    <w:rsid w:val="006179D6"/>
    <w:rsid w:val="00617C19"/>
    <w:rsid w:val="00620171"/>
    <w:rsid w:val="00624DE9"/>
    <w:rsid w:val="006259A0"/>
    <w:rsid w:val="0062650A"/>
    <w:rsid w:val="0062679B"/>
    <w:rsid w:val="00626A22"/>
    <w:rsid w:val="00630B26"/>
    <w:rsid w:val="00634611"/>
    <w:rsid w:val="0063637D"/>
    <w:rsid w:val="0063757E"/>
    <w:rsid w:val="00637B1D"/>
    <w:rsid w:val="00640D0F"/>
    <w:rsid w:val="00641955"/>
    <w:rsid w:val="00642153"/>
    <w:rsid w:val="00644DBE"/>
    <w:rsid w:val="006459F5"/>
    <w:rsid w:val="006542E6"/>
    <w:rsid w:val="006568C4"/>
    <w:rsid w:val="00660020"/>
    <w:rsid w:val="006667EE"/>
    <w:rsid w:val="00670ABD"/>
    <w:rsid w:val="00670B5B"/>
    <w:rsid w:val="0067193B"/>
    <w:rsid w:val="00671D2D"/>
    <w:rsid w:val="00673A41"/>
    <w:rsid w:val="006748FC"/>
    <w:rsid w:val="00676BB2"/>
    <w:rsid w:val="0068054B"/>
    <w:rsid w:val="00682571"/>
    <w:rsid w:val="00682AB5"/>
    <w:rsid w:val="00687347"/>
    <w:rsid w:val="00687D0D"/>
    <w:rsid w:val="0069177E"/>
    <w:rsid w:val="006A0755"/>
    <w:rsid w:val="006A17C5"/>
    <w:rsid w:val="006A4302"/>
    <w:rsid w:val="006A4F46"/>
    <w:rsid w:val="006B2894"/>
    <w:rsid w:val="006B44CA"/>
    <w:rsid w:val="006B5B4E"/>
    <w:rsid w:val="006B626A"/>
    <w:rsid w:val="006B6F45"/>
    <w:rsid w:val="006C0704"/>
    <w:rsid w:val="006C0CAA"/>
    <w:rsid w:val="006C12AF"/>
    <w:rsid w:val="006C5F56"/>
    <w:rsid w:val="006C79B0"/>
    <w:rsid w:val="006D0A56"/>
    <w:rsid w:val="006D11DF"/>
    <w:rsid w:val="006D2F3F"/>
    <w:rsid w:val="006D3434"/>
    <w:rsid w:val="006D4BCB"/>
    <w:rsid w:val="006D7CD8"/>
    <w:rsid w:val="006E1201"/>
    <w:rsid w:val="006E3039"/>
    <w:rsid w:val="006E6DF0"/>
    <w:rsid w:val="006F1B98"/>
    <w:rsid w:val="006F2476"/>
    <w:rsid w:val="006F3AAB"/>
    <w:rsid w:val="006F4ED2"/>
    <w:rsid w:val="006F5730"/>
    <w:rsid w:val="00700FC1"/>
    <w:rsid w:val="007107B6"/>
    <w:rsid w:val="00712E74"/>
    <w:rsid w:val="0071500E"/>
    <w:rsid w:val="007163D9"/>
    <w:rsid w:val="00717D1F"/>
    <w:rsid w:val="00717DF2"/>
    <w:rsid w:val="007212A6"/>
    <w:rsid w:val="00723211"/>
    <w:rsid w:val="00730391"/>
    <w:rsid w:val="00732EB4"/>
    <w:rsid w:val="007365F5"/>
    <w:rsid w:val="00743D15"/>
    <w:rsid w:val="00745872"/>
    <w:rsid w:val="0074598C"/>
    <w:rsid w:val="007468BB"/>
    <w:rsid w:val="00746A8A"/>
    <w:rsid w:val="00750B70"/>
    <w:rsid w:val="00754E98"/>
    <w:rsid w:val="007556E1"/>
    <w:rsid w:val="00756B95"/>
    <w:rsid w:val="00757FC5"/>
    <w:rsid w:val="007619EF"/>
    <w:rsid w:val="007655AE"/>
    <w:rsid w:val="00765BFB"/>
    <w:rsid w:val="00766A36"/>
    <w:rsid w:val="00770152"/>
    <w:rsid w:val="00772624"/>
    <w:rsid w:val="00775107"/>
    <w:rsid w:val="0077513A"/>
    <w:rsid w:val="00777C84"/>
    <w:rsid w:val="00782A7A"/>
    <w:rsid w:val="00783526"/>
    <w:rsid w:val="00783739"/>
    <w:rsid w:val="00783EA1"/>
    <w:rsid w:val="007854F9"/>
    <w:rsid w:val="00791810"/>
    <w:rsid w:val="007939B6"/>
    <w:rsid w:val="00795DB6"/>
    <w:rsid w:val="007964FC"/>
    <w:rsid w:val="007A24AB"/>
    <w:rsid w:val="007A366C"/>
    <w:rsid w:val="007A4A33"/>
    <w:rsid w:val="007A5D72"/>
    <w:rsid w:val="007B112B"/>
    <w:rsid w:val="007B15D7"/>
    <w:rsid w:val="007B27E3"/>
    <w:rsid w:val="007B3316"/>
    <w:rsid w:val="007B36E6"/>
    <w:rsid w:val="007B410F"/>
    <w:rsid w:val="007B70F8"/>
    <w:rsid w:val="007B758F"/>
    <w:rsid w:val="007C0B6A"/>
    <w:rsid w:val="007C1F7C"/>
    <w:rsid w:val="007C4F72"/>
    <w:rsid w:val="007C6046"/>
    <w:rsid w:val="007C6176"/>
    <w:rsid w:val="007D089A"/>
    <w:rsid w:val="007D1247"/>
    <w:rsid w:val="007D13FB"/>
    <w:rsid w:val="007D1603"/>
    <w:rsid w:val="007D251B"/>
    <w:rsid w:val="007D3940"/>
    <w:rsid w:val="007D5CC5"/>
    <w:rsid w:val="007D61F3"/>
    <w:rsid w:val="007E09C2"/>
    <w:rsid w:val="007E11C8"/>
    <w:rsid w:val="007E1D5C"/>
    <w:rsid w:val="007E243A"/>
    <w:rsid w:val="007E2E94"/>
    <w:rsid w:val="007E45C1"/>
    <w:rsid w:val="007E48C0"/>
    <w:rsid w:val="007E5349"/>
    <w:rsid w:val="007E54A7"/>
    <w:rsid w:val="007F1B5C"/>
    <w:rsid w:val="007F3E65"/>
    <w:rsid w:val="007F7C2B"/>
    <w:rsid w:val="00802C3F"/>
    <w:rsid w:val="008071E0"/>
    <w:rsid w:val="00807495"/>
    <w:rsid w:val="008077B8"/>
    <w:rsid w:val="008122E0"/>
    <w:rsid w:val="00813E97"/>
    <w:rsid w:val="008168B4"/>
    <w:rsid w:val="008209E2"/>
    <w:rsid w:val="00821A7A"/>
    <w:rsid w:val="00822750"/>
    <w:rsid w:val="008261E0"/>
    <w:rsid w:val="00826274"/>
    <w:rsid w:val="0082766D"/>
    <w:rsid w:val="00830589"/>
    <w:rsid w:val="00831311"/>
    <w:rsid w:val="00835C79"/>
    <w:rsid w:val="00840198"/>
    <w:rsid w:val="00841263"/>
    <w:rsid w:val="0084602A"/>
    <w:rsid w:val="00847C94"/>
    <w:rsid w:val="008507C3"/>
    <w:rsid w:val="00851441"/>
    <w:rsid w:val="008525A4"/>
    <w:rsid w:val="00853D71"/>
    <w:rsid w:val="008550EA"/>
    <w:rsid w:val="00856656"/>
    <w:rsid w:val="00861C28"/>
    <w:rsid w:val="00862648"/>
    <w:rsid w:val="008665E0"/>
    <w:rsid w:val="0086731F"/>
    <w:rsid w:val="00870879"/>
    <w:rsid w:val="00871F5C"/>
    <w:rsid w:val="0087423F"/>
    <w:rsid w:val="0087445F"/>
    <w:rsid w:val="008744DA"/>
    <w:rsid w:val="00877AFF"/>
    <w:rsid w:val="0088226E"/>
    <w:rsid w:val="00882645"/>
    <w:rsid w:val="008826D1"/>
    <w:rsid w:val="008850B1"/>
    <w:rsid w:val="0088590F"/>
    <w:rsid w:val="00890803"/>
    <w:rsid w:val="00891799"/>
    <w:rsid w:val="00892BD9"/>
    <w:rsid w:val="008938F0"/>
    <w:rsid w:val="00893CBB"/>
    <w:rsid w:val="00894E04"/>
    <w:rsid w:val="00895CCB"/>
    <w:rsid w:val="008A0D5A"/>
    <w:rsid w:val="008A0DE9"/>
    <w:rsid w:val="008A14F1"/>
    <w:rsid w:val="008A21B7"/>
    <w:rsid w:val="008A378A"/>
    <w:rsid w:val="008A5D3C"/>
    <w:rsid w:val="008A7A04"/>
    <w:rsid w:val="008B1A75"/>
    <w:rsid w:val="008B7FD4"/>
    <w:rsid w:val="008C0B54"/>
    <w:rsid w:val="008C2496"/>
    <w:rsid w:val="008C24F7"/>
    <w:rsid w:val="008C3FD8"/>
    <w:rsid w:val="008C4C85"/>
    <w:rsid w:val="008C55F0"/>
    <w:rsid w:val="008C5F60"/>
    <w:rsid w:val="008C6D08"/>
    <w:rsid w:val="008C7981"/>
    <w:rsid w:val="008D01BD"/>
    <w:rsid w:val="008D0298"/>
    <w:rsid w:val="008D111B"/>
    <w:rsid w:val="008D1E1D"/>
    <w:rsid w:val="008D3FB1"/>
    <w:rsid w:val="008D3FDC"/>
    <w:rsid w:val="008D4123"/>
    <w:rsid w:val="008D4A9D"/>
    <w:rsid w:val="008D4ACA"/>
    <w:rsid w:val="008E01B1"/>
    <w:rsid w:val="008E371D"/>
    <w:rsid w:val="008E39AC"/>
    <w:rsid w:val="008E4118"/>
    <w:rsid w:val="008F1BC0"/>
    <w:rsid w:val="009036B6"/>
    <w:rsid w:val="009059DD"/>
    <w:rsid w:val="00910DD2"/>
    <w:rsid w:val="0091218C"/>
    <w:rsid w:val="0091326C"/>
    <w:rsid w:val="0091399C"/>
    <w:rsid w:val="009142E4"/>
    <w:rsid w:val="00922C1A"/>
    <w:rsid w:val="00923929"/>
    <w:rsid w:val="009249D5"/>
    <w:rsid w:val="00925429"/>
    <w:rsid w:val="009301F9"/>
    <w:rsid w:val="0093020F"/>
    <w:rsid w:val="009355F1"/>
    <w:rsid w:val="0093582F"/>
    <w:rsid w:val="009422AF"/>
    <w:rsid w:val="009446A9"/>
    <w:rsid w:val="00946116"/>
    <w:rsid w:val="009461E4"/>
    <w:rsid w:val="00947EF7"/>
    <w:rsid w:val="00950FA8"/>
    <w:rsid w:val="009541BF"/>
    <w:rsid w:val="009542CB"/>
    <w:rsid w:val="00955929"/>
    <w:rsid w:val="0095597E"/>
    <w:rsid w:val="00955FDB"/>
    <w:rsid w:val="00957FD0"/>
    <w:rsid w:val="009641AB"/>
    <w:rsid w:val="00966E67"/>
    <w:rsid w:val="00971C3F"/>
    <w:rsid w:val="00971E7C"/>
    <w:rsid w:val="00975006"/>
    <w:rsid w:val="009753D5"/>
    <w:rsid w:val="00976DD3"/>
    <w:rsid w:val="00976DE2"/>
    <w:rsid w:val="00977C18"/>
    <w:rsid w:val="00980B19"/>
    <w:rsid w:val="00980B6C"/>
    <w:rsid w:val="00980BF4"/>
    <w:rsid w:val="009813FE"/>
    <w:rsid w:val="00982B10"/>
    <w:rsid w:val="009831BF"/>
    <w:rsid w:val="009834DC"/>
    <w:rsid w:val="00984898"/>
    <w:rsid w:val="009929C6"/>
    <w:rsid w:val="00992DAA"/>
    <w:rsid w:val="009970ED"/>
    <w:rsid w:val="009973A1"/>
    <w:rsid w:val="00997772"/>
    <w:rsid w:val="009A00A8"/>
    <w:rsid w:val="009A0EB6"/>
    <w:rsid w:val="009A1B3F"/>
    <w:rsid w:val="009A261D"/>
    <w:rsid w:val="009A2A80"/>
    <w:rsid w:val="009A3535"/>
    <w:rsid w:val="009A3E1E"/>
    <w:rsid w:val="009A4E03"/>
    <w:rsid w:val="009A57DD"/>
    <w:rsid w:val="009A6F24"/>
    <w:rsid w:val="009A7720"/>
    <w:rsid w:val="009A79E7"/>
    <w:rsid w:val="009B482F"/>
    <w:rsid w:val="009B48F6"/>
    <w:rsid w:val="009B62A2"/>
    <w:rsid w:val="009B6BB9"/>
    <w:rsid w:val="009C179C"/>
    <w:rsid w:val="009C38B5"/>
    <w:rsid w:val="009C4886"/>
    <w:rsid w:val="009C5F4B"/>
    <w:rsid w:val="009C7141"/>
    <w:rsid w:val="009D134C"/>
    <w:rsid w:val="009D17FB"/>
    <w:rsid w:val="009D2425"/>
    <w:rsid w:val="009D4DED"/>
    <w:rsid w:val="009E371B"/>
    <w:rsid w:val="009E3BD4"/>
    <w:rsid w:val="009F0559"/>
    <w:rsid w:val="009F1526"/>
    <w:rsid w:val="009F502C"/>
    <w:rsid w:val="009F62B0"/>
    <w:rsid w:val="009F780B"/>
    <w:rsid w:val="00A0387C"/>
    <w:rsid w:val="00A100A2"/>
    <w:rsid w:val="00A122CD"/>
    <w:rsid w:val="00A1308C"/>
    <w:rsid w:val="00A13EFB"/>
    <w:rsid w:val="00A14476"/>
    <w:rsid w:val="00A1632E"/>
    <w:rsid w:val="00A17DD2"/>
    <w:rsid w:val="00A223B0"/>
    <w:rsid w:val="00A23318"/>
    <w:rsid w:val="00A247B8"/>
    <w:rsid w:val="00A25681"/>
    <w:rsid w:val="00A25A41"/>
    <w:rsid w:val="00A262A3"/>
    <w:rsid w:val="00A2689F"/>
    <w:rsid w:val="00A31F89"/>
    <w:rsid w:val="00A360C9"/>
    <w:rsid w:val="00A4043A"/>
    <w:rsid w:val="00A4243D"/>
    <w:rsid w:val="00A45A75"/>
    <w:rsid w:val="00A557D0"/>
    <w:rsid w:val="00A56DFD"/>
    <w:rsid w:val="00A612DE"/>
    <w:rsid w:val="00A62EEB"/>
    <w:rsid w:val="00A64F63"/>
    <w:rsid w:val="00A74D13"/>
    <w:rsid w:val="00A7570F"/>
    <w:rsid w:val="00A758AD"/>
    <w:rsid w:val="00A76111"/>
    <w:rsid w:val="00A80792"/>
    <w:rsid w:val="00A80CDE"/>
    <w:rsid w:val="00A829A0"/>
    <w:rsid w:val="00A82F91"/>
    <w:rsid w:val="00A833FC"/>
    <w:rsid w:val="00A91073"/>
    <w:rsid w:val="00A957C5"/>
    <w:rsid w:val="00AA1120"/>
    <w:rsid w:val="00AA2AE8"/>
    <w:rsid w:val="00AA2FB3"/>
    <w:rsid w:val="00AA4BB9"/>
    <w:rsid w:val="00AB2254"/>
    <w:rsid w:val="00AB3EF5"/>
    <w:rsid w:val="00AB4CCF"/>
    <w:rsid w:val="00AB5699"/>
    <w:rsid w:val="00AC1465"/>
    <w:rsid w:val="00AC5023"/>
    <w:rsid w:val="00AC6A9C"/>
    <w:rsid w:val="00AC719C"/>
    <w:rsid w:val="00AD134B"/>
    <w:rsid w:val="00AD34E7"/>
    <w:rsid w:val="00AD4738"/>
    <w:rsid w:val="00AD5E41"/>
    <w:rsid w:val="00AE3D60"/>
    <w:rsid w:val="00AE540C"/>
    <w:rsid w:val="00AE5553"/>
    <w:rsid w:val="00AE68AC"/>
    <w:rsid w:val="00AE7F5E"/>
    <w:rsid w:val="00AF032B"/>
    <w:rsid w:val="00AF0FDF"/>
    <w:rsid w:val="00AF4B4A"/>
    <w:rsid w:val="00AF583D"/>
    <w:rsid w:val="00AF5DA7"/>
    <w:rsid w:val="00AF7050"/>
    <w:rsid w:val="00AF708A"/>
    <w:rsid w:val="00B03209"/>
    <w:rsid w:val="00B05275"/>
    <w:rsid w:val="00B10489"/>
    <w:rsid w:val="00B1277A"/>
    <w:rsid w:val="00B13B0F"/>
    <w:rsid w:val="00B14C85"/>
    <w:rsid w:val="00B17C01"/>
    <w:rsid w:val="00B224E6"/>
    <w:rsid w:val="00B244C5"/>
    <w:rsid w:val="00B247E1"/>
    <w:rsid w:val="00B31243"/>
    <w:rsid w:val="00B326A3"/>
    <w:rsid w:val="00B3336C"/>
    <w:rsid w:val="00B34B9F"/>
    <w:rsid w:val="00B3679E"/>
    <w:rsid w:val="00B433C2"/>
    <w:rsid w:val="00B43CC4"/>
    <w:rsid w:val="00B440BC"/>
    <w:rsid w:val="00B4694B"/>
    <w:rsid w:val="00B46C60"/>
    <w:rsid w:val="00B47E93"/>
    <w:rsid w:val="00B55BF2"/>
    <w:rsid w:val="00B56D6D"/>
    <w:rsid w:val="00B578AB"/>
    <w:rsid w:val="00B57E1A"/>
    <w:rsid w:val="00B64D00"/>
    <w:rsid w:val="00B65F0A"/>
    <w:rsid w:val="00B74F36"/>
    <w:rsid w:val="00B75217"/>
    <w:rsid w:val="00B75E06"/>
    <w:rsid w:val="00B7644D"/>
    <w:rsid w:val="00B76E8F"/>
    <w:rsid w:val="00B81C8A"/>
    <w:rsid w:val="00B82C8C"/>
    <w:rsid w:val="00B84C6D"/>
    <w:rsid w:val="00B85568"/>
    <w:rsid w:val="00B86EFF"/>
    <w:rsid w:val="00B878D2"/>
    <w:rsid w:val="00B924BD"/>
    <w:rsid w:val="00B96B6C"/>
    <w:rsid w:val="00B97397"/>
    <w:rsid w:val="00BA0B84"/>
    <w:rsid w:val="00BA38D4"/>
    <w:rsid w:val="00BA4023"/>
    <w:rsid w:val="00BA412F"/>
    <w:rsid w:val="00BA4A3F"/>
    <w:rsid w:val="00BA6027"/>
    <w:rsid w:val="00BA622F"/>
    <w:rsid w:val="00BA7A05"/>
    <w:rsid w:val="00BB4034"/>
    <w:rsid w:val="00BB5CC5"/>
    <w:rsid w:val="00BB679D"/>
    <w:rsid w:val="00BC04A9"/>
    <w:rsid w:val="00BC111F"/>
    <w:rsid w:val="00BC18E5"/>
    <w:rsid w:val="00BC391C"/>
    <w:rsid w:val="00BC4869"/>
    <w:rsid w:val="00BC52F7"/>
    <w:rsid w:val="00BC5C0B"/>
    <w:rsid w:val="00BD2375"/>
    <w:rsid w:val="00BD6411"/>
    <w:rsid w:val="00BE3427"/>
    <w:rsid w:val="00BE4ACB"/>
    <w:rsid w:val="00BE5823"/>
    <w:rsid w:val="00BE6351"/>
    <w:rsid w:val="00BF26CD"/>
    <w:rsid w:val="00BF2F28"/>
    <w:rsid w:val="00BF3671"/>
    <w:rsid w:val="00BF413A"/>
    <w:rsid w:val="00BF4F0B"/>
    <w:rsid w:val="00BF53C0"/>
    <w:rsid w:val="00BF57CD"/>
    <w:rsid w:val="00BF6DBB"/>
    <w:rsid w:val="00BF77F5"/>
    <w:rsid w:val="00C00AF8"/>
    <w:rsid w:val="00C0412F"/>
    <w:rsid w:val="00C05754"/>
    <w:rsid w:val="00C05D02"/>
    <w:rsid w:val="00C07526"/>
    <w:rsid w:val="00C11C21"/>
    <w:rsid w:val="00C12591"/>
    <w:rsid w:val="00C14BA2"/>
    <w:rsid w:val="00C214B8"/>
    <w:rsid w:val="00C24743"/>
    <w:rsid w:val="00C27549"/>
    <w:rsid w:val="00C3199D"/>
    <w:rsid w:val="00C343E2"/>
    <w:rsid w:val="00C4285C"/>
    <w:rsid w:val="00C4324A"/>
    <w:rsid w:val="00C46419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700EB"/>
    <w:rsid w:val="00C70AC1"/>
    <w:rsid w:val="00C70DA8"/>
    <w:rsid w:val="00C76077"/>
    <w:rsid w:val="00C81982"/>
    <w:rsid w:val="00C82CDD"/>
    <w:rsid w:val="00C84193"/>
    <w:rsid w:val="00C845DC"/>
    <w:rsid w:val="00C846DE"/>
    <w:rsid w:val="00C85C28"/>
    <w:rsid w:val="00C87F73"/>
    <w:rsid w:val="00C91F7B"/>
    <w:rsid w:val="00C93D0B"/>
    <w:rsid w:val="00C969D7"/>
    <w:rsid w:val="00C97B3E"/>
    <w:rsid w:val="00CA0345"/>
    <w:rsid w:val="00CA269C"/>
    <w:rsid w:val="00CA27B4"/>
    <w:rsid w:val="00CB005F"/>
    <w:rsid w:val="00CB0A28"/>
    <w:rsid w:val="00CB28D2"/>
    <w:rsid w:val="00CB4062"/>
    <w:rsid w:val="00CB4341"/>
    <w:rsid w:val="00CB5F3D"/>
    <w:rsid w:val="00CC0A2F"/>
    <w:rsid w:val="00CC3127"/>
    <w:rsid w:val="00CC5404"/>
    <w:rsid w:val="00CC6205"/>
    <w:rsid w:val="00CC621B"/>
    <w:rsid w:val="00CC7851"/>
    <w:rsid w:val="00CC78E2"/>
    <w:rsid w:val="00CD0497"/>
    <w:rsid w:val="00CD1A67"/>
    <w:rsid w:val="00CD2794"/>
    <w:rsid w:val="00CD3AE0"/>
    <w:rsid w:val="00CE0996"/>
    <w:rsid w:val="00CE60CB"/>
    <w:rsid w:val="00CE716B"/>
    <w:rsid w:val="00CE7B8F"/>
    <w:rsid w:val="00CF0CB2"/>
    <w:rsid w:val="00CF1607"/>
    <w:rsid w:val="00CF21DD"/>
    <w:rsid w:val="00CF27ED"/>
    <w:rsid w:val="00CF3205"/>
    <w:rsid w:val="00CF52D3"/>
    <w:rsid w:val="00D03367"/>
    <w:rsid w:val="00D038F8"/>
    <w:rsid w:val="00D0435B"/>
    <w:rsid w:val="00D04F24"/>
    <w:rsid w:val="00D06C11"/>
    <w:rsid w:val="00D0727D"/>
    <w:rsid w:val="00D10CAC"/>
    <w:rsid w:val="00D110D4"/>
    <w:rsid w:val="00D12203"/>
    <w:rsid w:val="00D126E4"/>
    <w:rsid w:val="00D13D5D"/>
    <w:rsid w:val="00D14B04"/>
    <w:rsid w:val="00D16444"/>
    <w:rsid w:val="00D16F2B"/>
    <w:rsid w:val="00D21002"/>
    <w:rsid w:val="00D2107C"/>
    <w:rsid w:val="00D21AB4"/>
    <w:rsid w:val="00D256A0"/>
    <w:rsid w:val="00D260AF"/>
    <w:rsid w:val="00D27FD0"/>
    <w:rsid w:val="00D31B10"/>
    <w:rsid w:val="00D3334C"/>
    <w:rsid w:val="00D35DAE"/>
    <w:rsid w:val="00D366AC"/>
    <w:rsid w:val="00D41286"/>
    <w:rsid w:val="00D41C66"/>
    <w:rsid w:val="00D422B8"/>
    <w:rsid w:val="00D42D17"/>
    <w:rsid w:val="00D4405D"/>
    <w:rsid w:val="00D44662"/>
    <w:rsid w:val="00D44EC2"/>
    <w:rsid w:val="00D462EA"/>
    <w:rsid w:val="00D46FAA"/>
    <w:rsid w:val="00D46FCA"/>
    <w:rsid w:val="00D53952"/>
    <w:rsid w:val="00D53AF3"/>
    <w:rsid w:val="00D54F3D"/>
    <w:rsid w:val="00D5564E"/>
    <w:rsid w:val="00D5596D"/>
    <w:rsid w:val="00D568A3"/>
    <w:rsid w:val="00D62E67"/>
    <w:rsid w:val="00D6558D"/>
    <w:rsid w:val="00D663D3"/>
    <w:rsid w:val="00D70E7C"/>
    <w:rsid w:val="00D70F3F"/>
    <w:rsid w:val="00D77625"/>
    <w:rsid w:val="00D7770E"/>
    <w:rsid w:val="00D85D30"/>
    <w:rsid w:val="00D943E8"/>
    <w:rsid w:val="00D9470E"/>
    <w:rsid w:val="00D95201"/>
    <w:rsid w:val="00D95E72"/>
    <w:rsid w:val="00DA3001"/>
    <w:rsid w:val="00DA3716"/>
    <w:rsid w:val="00DA459A"/>
    <w:rsid w:val="00DA67EB"/>
    <w:rsid w:val="00DA6993"/>
    <w:rsid w:val="00DA6F98"/>
    <w:rsid w:val="00DB039D"/>
    <w:rsid w:val="00DB1D60"/>
    <w:rsid w:val="00DB557B"/>
    <w:rsid w:val="00DB59D2"/>
    <w:rsid w:val="00DB6CFF"/>
    <w:rsid w:val="00DC102D"/>
    <w:rsid w:val="00DC30D3"/>
    <w:rsid w:val="00DC3318"/>
    <w:rsid w:val="00DC3B4A"/>
    <w:rsid w:val="00DC3C3E"/>
    <w:rsid w:val="00DC6B2A"/>
    <w:rsid w:val="00DC75CC"/>
    <w:rsid w:val="00DD0AA3"/>
    <w:rsid w:val="00DD36DD"/>
    <w:rsid w:val="00DD393A"/>
    <w:rsid w:val="00DD7E42"/>
    <w:rsid w:val="00DE045B"/>
    <w:rsid w:val="00DE096A"/>
    <w:rsid w:val="00DE09B4"/>
    <w:rsid w:val="00DE2E10"/>
    <w:rsid w:val="00DE3428"/>
    <w:rsid w:val="00DE545B"/>
    <w:rsid w:val="00DE57F9"/>
    <w:rsid w:val="00DF01DE"/>
    <w:rsid w:val="00DF532A"/>
    <w:rsid w:val="00E003AC"/>
    <w:rsid w:val="00E01C63"/>
    <w:rsid w:val="00E02635"/>
    <w:rsid w:val="00E036DB"/>
    <w:rsid w:val="00E0389B"/>
    <w:rsid w:val="00E109F5"/>
    <w:rsid w:val="00E14489"/>
    <w:rsid w:val="00E155C3"/>
    <w:rsid w:val="00E16FD7"/>
    <w:rsid w:val="00E2096F"/>
    <w:rsid w:val="00E20FD1"/>
    <w:rsid w:val="00E22CF5"/>
    <w:rsid w:val="00E23A6E"/>
    <w:rsid w:val="00E26A1E"/>
    <w:rsid w:val="00E276D1"/>
    <w:rsid w:val="00E30864"/>
    <w:rsid w:val="00E30BB8"/>
    <w:rsid w:val="00E352FA"/>
    <w:rsid w:val="00E36594"/>
    <w:rsid w:val="00E36F01"/>
    <w:rsid w:val="00E400D2"/>
    <w:rsid w:val="00E42DE3"/>
    <w:rsid w:val="00E454A2"/>
    <w:rsid w:val="00E46FD1"/>
    <w:rsid w:val="00E50F64"/>
    <w:rsid w:val="00E51BBF"/>
    <w:rsid w:val="00E54861"/>
    <w:rsid w:val="00E652BA"/>
    <w:rsid w:val="00E70D4B"/>
    <w:rsid w:val="00E76119"/>
    <w:rsid w:val="00E77CB0"/>
    <w:rsid w:val="00E80C5C"/>
    <w:rsid w:val="00E81251"/>
    <w:rsid w:val="00E821B8"/>
    <w:rsid w:val="00E84A1D"/>
    <w:rsid w:val="00E84E8E"/>
    <w:rsid w:val="00E861BF"/>
    <w:rsid w:val="00E863D4"/>
    <w:rsid w:val="00E90149"/>
    <w:rsid w:val="00E90D17"/>
    <w:rsid w:val="00E919B8"/>
    <w:rsid w:val="00E91A0A"/>
    <w:rsid w:val="00E92FD5"/>
    <w:rsid w:val="00E94A91"/>
    <w:rsid w:val="00E9558D"/>
    <w:rsid w:val="00E960F0"/>
    <w:rsid w:val="00EA0280"/>
    <w:rsid w:val="00EA2D49"/>
    <w:rsid w:val="00EA36D2"/>
    <w:rsid w:val="00EA377C"/>
    <w:rsid w:val="00EA526C"/>
    <w:rsid w:val="00EA5E19"/>
    <w:rsid w:val="00EB1307"/>
    <w:rsid w:val="00EB34BF"/>
    <w:rsid w:val="00EB61CF"/>
    <w:rsid w:val="00EC3C2C"/>
    <w:rsid w:val="00EC544C"/>
    <w:rsid w:val="00EC63C0"/>
    <w:rsid w:val="00EC77A6"/>
    <w:rsid w:val="00EC7A4A"/>
    <w:rsid w:val="00ED0F24"/>
    <w:rsid w:val="00ED11AA"/>
    <w:rsid w:val="00ED6E61"/>
    <w:rsid w:val="00ED7347"/>
    <w:rsid w:val="00EE24F8"/>
    <w:rsid w:val="00EE3721"/>
    <w:rsid w:val="00EE5E21"/>
    <w:rsid w:val="00EF10BA"/>
    <w:rsid w:val="00EF2609"/>
    <w:rsid w:val="00EF6674"/>
    <w:rsid w:val="00F01241"/>
    <w:rsid w:val="00F015C6"/>
    <w:rsid w:val="00F045FE"/>
    <w:rsid w:val="00F05DEF"/>
    <w:rsid w:val="00F06B5E"/>
    <w:rsid w:val="00F076A6"/>
    <w:rsid w:val="00F07D65"/>
    <w:rsid w:val="00F12020"/>
    <w:rsid w:val="00F12941"/>
    <w:rsid w:val="00F140F9"/>
    <w:rsid w:val="00F14D8B"/>
    <w:rsid w:val="00F15F1C"/>
    <w:rsid w:val="00F162CE"/>
    <w:rsid w:val="00F20741"/>
    <w:rsid w:val="00F24DEC"/>
    <w:rsid w:val="00F24F25"/>
    <w:rsid w:val="00F25031"/>
    <w:rsid w:val="00F3073A"/>
    <w:rsid w:val="00F36D30"/>
    <w:rsid w:val="00F500C7"/>
    <w:rsid w:val="00F50BEE"/>
    <w:rsid w:val="00F5219A"/>
    <w:rsid w:val="00F53D59"/>
    <w:rsid w:val="00F54B9A"/>
    <w:rsid w:val="00F579E7"/>
    <w:rsid w:val="00F633FD"/>
    <w:rsid w:val="00F63ED5"/>
    <w:rsid w:val="00F643B3"/>
    <w:rsid w:val="00F65D53"/>
    <w:rsid w:val="00F7317C"/>
    <w:rsid w:val="00F746C6"/>
    <w:rsid w:val="00F74863"/>
    <w:rsid w:val="00F76C46"/>
    <w:rsid w:val="00F82676"/>
    <w:rsid w:val="00F83D25"/>
    <w:rsid w:val="00F87E1B"/>
    <w:rsid w:val="00F91BBC"/>
    <w:rsid w:val="00F9209B"/>
    <w:rsid w:val="00F92BF3"/>
    <w:rsid w:val="00F94310"/>
    <w:rsid w:val="00F94BB8"/>
    <w:rsid w:val="00F9522D"/>
    <w:rsid w:val="00F957A4"/>
    <w:rsid w:val="00F966AF"/>
    <w:rsid w:val="00F96A66"/>
    <w:rsid w:val="00F96E2B"/>
    <w:rsid w:val="00F9709F"/>
    <w:rsid w:val="00F97455"/>
    <w:rsid w:val="00FA4A24"/>
    <w:rsid w:val="00FA7083"/>
    <w:rsid w:val="00FA71C6"/>
    <w:rsid w:val="00FA7E54"/>
    <w:rsid w:val="00FB2676"/>
    <w:rsid w:val="00FB5539"/>
    <w:rsid w:val="00FB575D"/>
    <w:rsid w:val="00FC06EC"/>
    <w:rsid w:val="00FC420A"/>
    <w:rsid w:val="00FD0096"/>
    <w:rsid w:val="00FD1516"/>
    <w:rsid w:val="00FD1E1F"/>
    <w:rsid w:val="00FD2175"/>
    <w:rsid w:val="00FD3609"/>
    <w:rsid w:val="00FD5A8E"/>
    <w:rsid w:val="00FD6FD1"/>
    <w:rsid w:val="00FD7C8D"/>
    <w:rsid w:val="00FE140F"/>
    <w:rsid w:val="00FE1F45"/>
    <w:rsid w:val="00FE4271"/>
    <w:rsid w:val="00FF0F1F"/>
    <w:rsid w:val="00FF5F30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qFormat/>
    <w:rsid w:val="00F957A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napToGrid w:val="0"/>
      <w:sz w:val="22"/>
      <w:szCs w:val="22"/>
      <w:lang w:val="de-DE"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957A4"/>
    <w:pPr>
      <w:tabs>
        <w:tab w:val="center" w:pos="4536"/>
        <w:tab w:val="right" w:pos="9072"/>
      </w:tabs>
    </w:pPr>
  </w:style>
  <w:style w:type="paragraph" w:customStyle="1" w:styleId="Einleitung">
    <w:name w:val="Einleitung"/>
    <w:rsid w:val="00F957A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napToGrid w:val="0"/>
      <w:sz w:val="22"/>
      <w:szCs w:val="22"/>
      <w:lang w:val="de-DE" w:eastAsia="ko-KR"/>
    </w:rPr>
  </w:style>
  <w:style w:type="paragraph" w:customStyle="1" w:styleId="Fotohinweis">
    <w:name w:val="Fotohinweis"/>
    <w:basedOn w:val="Normale"/>
    <w:rsid w:val="00F957A4"/>
    <w:pPr>
      <w:jc w:val="right"/>
    </w:pPr>
  </w:style>
  <w:style w:type="paragraph" w:customStyle="1" w:styleId="Bildunterschrift">
    <w:name w:val="Bildunterschrift"/>
    <w:basedOn w:val="Normale"/>
    <w:rsid w:val="00F957A4"/>
    <w:pPr>
      <w:keepNext/>
      <w:keepLines/>
      <w:spacing w:before="240"/>
    </w:pPr>
    <w:rPr>
      <w:b/>
      <w:bCs/>
    </w:rPr>
  </w:style>
  <w:style w:type="paragraph" w:customStyle="1" w:styleId="SubHead">
    <w:name w:val="SubHead"/>
    <w:basedOn w:val="Einleitung"/>
    <w:rsid w:val="00F957A4"/>
  </w:style>
  <w:style w:type="character" w:customStyle="1" w:styleId="tw4winMark">
    <w:name w:val="tw4winMark"/>
    <w:rsid w:val="00F957A4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F957A4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F957A4"/>
    <w:rPr>
      <w:color w:val="0000FF"/>
    </w:rPr>
  </w:style>
  <w:style w:type="character" w:customStyle="1" w:styleId="tw4winPopup">
    <w:name w:val="tw4winPopup"/>
    <w:rsid w:val="00F957A4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F957A4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F957A4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F957A4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F957A4"/>
    <w:rPr>
      <w:rFonts w:ascii="Courier New" w:hAnsi="Courier New"/>
      <w:noProof/>
      <w:color w:val="800000"/>
    </w:rPr>
  </w:style>
  <w:style w:type="numbering" w:customStyle="1" w:styleId="ListemitAufzhlungszeichenDoka">
    <w:name w:val="Liste mit Aufzählungszeichen Doka"/>
    <w:rsid w:val="00F957A4"/>
    <w:pPr>
      <w:numPr>
        <w:numId w:val="30"/>
      </w:numPr>
    </w:pPr>
  </w:style>
  <w:style w:type="paragraph" w:styleId="Testofumetto">
    <w:name w:val="Balloon Text"/>
    <w:basedOn w:val="Normale"/>
    <w:link w:val="TestofumettoCarattere"/>
    <w:locked/>
    <w:rsid w:val="001518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518AF"/>
    <w:rPr>
      <w:rFonts w:ascii="Tahoma" w:hAnsi="Tahoma" w:cs="Tahoma"/>
      <w:snapToGrid w:val="0"/>
      <w:sz w:val="16"/>
      <w:szCs w:val="16"/>
      <w:lang w:val="de-DE" w:eastAsia="ko-KR"/>
    </w:rPr>
  </w:style>
  <w:style w:type="character" w:styleId="Collegamentoipertestuale">
    <w:name w:val="Hyperlink"/>
    <w:locked/>
    <w:rsid w:val="00294C6C"/>
    <w:rPr>
      <w:rFonts w:ascii="Arial" w:hAnsi="Arial" w:cs="Arial"/>
      <w:color w:val="666666"/>
      <w:sz w:val="18"/>
      <w:szCs w:val="18"/>
      <w:u w:val="single"/>
    </w:rPr>
  </w:style>
  <w:style w:type="character" w:styleId="Collegamentovisitato">
    <w:name w:val="FollowedHyperlink"/>
    <w:basedOn w:val="Carpredefinitoparagrafo"/>
    <w:locked/>
    <w:rsid w:val="00294C6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legnani@dok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ok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oka.com/web/newsroom/press/index.it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1446</Words>
  <Characters>8453</Characters>
  <Application>Microsoft Office Word</Application>
  <DocSecurity>0</DocSecurity>
  <Lines>70</Lines>
  <Paragraphs>19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Umdasch AG</Company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Laura Legnani</cp:lastModifiedBy>
  <cp:revision>12</cp:revision>
  <cp:lastPrinted>2014-02-10T10:55:00Z</cp:lastPrinted>
  <dcterms:created xsi:type="dcterms:W3CDTF">2014-04-14T14:50:00Z</dcterms:created>
  <dcterms:modified xsi:type="dcterms:W3CDTF">2014-05-13T13:15:00Z</dcterms:modified>
</cp:coreProperties>
</file>